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FC95" w14:textId="3925AA7C" w:rsidR="007626F9" w:rsidRPr="007626F9" w:rsidRDefault="007626F9" w:rsidP="007626F9">
      <w:pPr>
        <w:pBdr>
          <w:bottom w:val="single" w:sz="12" w:space="1" w:color="auto"/>
        </w:pBdr>
        <w:spacing w:after="0" w:line="276" w:lineRule="auto"/>
        <w:jc w:val="both"/>
        <w:rPr>
          <w:rFonts w:ascii="Cambria" w:eastAsia="Calibri" w:hAnsi="Cambria" w:cs="Times New Roman"/>
          <w:b/>
          <w:bCs/>
          <w:kern w:val="0"/>
          <w:sz w:val="28"/>
          <w:szCs w:val="28"/>
          <w14:ligatures w14:val="none"/>
        </w:rPr>
      </w:pPr>
      <w:bookmarkStart w:id="0" w:name="_Hlk103061885"/>
      <w:r w:rsidRPr="007626F9">
        <w:rPr>
          <w:rFonts w:ascii="Cambria" w:eastAsia="Calibri" w:hAnsi="Cambria" w:cs="Times New Roman"/>
          <w:b/>
          <w:bCs/>
          <w:kern w:val="0"/>
          <w:sz w:val="28"/>
          <w:szCs w:val="28"/>
          <w14:ligatures w14:val="none"/>
        </w:rPr>
        <w:t>IN THE CIRCUIT COURT HELD AT AMASAMAN – ACCRA ON T</w:t>
      </w:r>
      <w:r>
        <w:rPr>
          <w:rFonts w:ascii="Cambria" w:eastAsia="Calibri" w:hAnsi="Cambria" w:cs="Times New Roman"/>
          <w:b/>
          <w:bCs/>
          <w:kern w:val="0"/>
          <w:sz w:val="28"/>
          <w:szCs w:val="28"/>
          <w14:ligatures w14:val="none"/>
        </w:rPr>
        <w:t>HURS</w:t>
      </w:r>
      <w:r w:rsidRPr="007626F9">
        <w:rPr>
          <w:rFonts w:ascii="Cambria" w:eastAsia="Calibri" w:hAnsi="Cambria" w:cs="Times New Roman"/>
          <w:b/>
          <w:bCs/>
          <w:kern w:val="0"/>
          <w:sz w:val="28"/>
          <w:szCs w:val="28"/>
          <w14:ligatures w14:val="none"/>
        </w:rPr>
        <w:t xml:space="preserve">DAY THE </w:t>
      </w:r>
      <w:r>
        <w:rPr>
          <w:rFonts w:ascii="Cambria" w:eastAsia="Calibri" w:hAnsi="Cambria" w:cs="Times New Roman"/>
          <w:b/>
          <w:bCs/>
          <w:kern w:val="0"/>
          <w:sz w:val="28"/>
          <w:szCs w:val="28"/>
          <w14:ligatures w14:val="none"/>
        </w:rPr>
        <w:t>28</w:t>
      </w:r>
      <w:r w:rsidRPr="007626F9">
        <w:rPr>
          <w:rFonts w:ascii="Cambria" w:eastAsia="Calibri" w:hAnsi="Cambria" w:cs="Times New Roman"/>
          <w:b/>
          <w:bCs/>
          <w:kern w:val="0"/>
          <w:sz w:val="28"/>
          <w:szCs w:val="28"/>
          <w:vertAlign w:val="superscript"/>
          <w14:ligatures w14:val="none"/>
        </w:rPr>
        <w:t>TH</w:t>
      </w:r>
      <w:r w:rsidRPr="007626F9">
        <w:rPr>
          <w:rFonts w:ascii="Cambria" w:eastAsia="Calibri" w:hAnsi="Cambria" w:cs="Times New Roman"/>
          <w:b/>
          <w:bCs/>
          <w:kern w:val="0"/>
          <w:sz w:val="28"/>
          <w:szCs w:val="28"/>
          <w14:ligatures w14:val="none"/>
        </w:rPr>
        <w:t xml:space="preserve"> DAY OF </w:t>
      </w:r>
      <w:r>
        <w:rPr>
          <w:rFonts w:ascii="Cambria" w:eastAsia="Calibri" w:hAnsi="Cambria" w:cs="Times New Roman"/>
          <w:b/>
          <w:bCs/>
          <w:kern w:val="0"/>
          <w:sz w:val="28"/>
          <w:szCs w:val="28"/>
          <w14:ligatures w14:val="none"/>
        </w:rPr>
        <w:t>DECEMBER</w:t>
      </w:r>
      <w:r w:rsidRPr="007626F9">
        <w:rPr>
          <w:rFonts w:ascii="Cambria" w:eastAsia="Calibri" w:hAnsi="Cambria" w:cs="Times New Roman"/>
          <w:b/>
          <w:bCs/>
          <w:kern w:val="0"/>
          <w:sz w:val="28"/>
          <w:szCs w:val="28"/>
          <w14:ligatures w14:val="none"/>
        </w:rPr>
        <w:t>, 202</w:t>
      </w:r>
      <w:r>
        <w:rPr>
          <w:rFonts w:ascii="Cambria" w:eastAsia="Calibri" w:hAnsi="Cambria" w:cs="Times New Roman"/>
          <w:b/>
          <w:bCs/>
          <w:kern w:val="0"/>
          <w:sz w:val="28"/>
          <w:szCs w:val="28"/>
          <w14:ligatures w14:val="none"/>
        </w:rPr>
        <w:t>3</w:t>
      </w:r>
      <w:r w:rsidRPr="007626F9">
        <w:rPr>
          <w:rFonts w:ascii="Cambria" w:eastAsia="Calibri" w:hAnsi="Cambria" w:cs="Times New Roman"/>
          <w:b/>
          <w:bCs/>
          <w:kern w:val="0"/>
          <w:sz w:val="28"/>
          <w:szCs w:val="28"/>
          <w14:ligatures w14:val="none"/>
        </w:rPr>
        <w:t xml:space="preserve"> BEFORE HER HONOUR ENID MARFUL-SAU, CIRCUIT COURT JUDGE</w:t>
      </w:r>
    </w:p>
    <w:p w14:paraId="0820A418" w14:textId="77777777" w:rsidR="007626F9" w:rsidRPr="007626F9" w:rsidRDefault="007626F9" w:rsidP="007626F9">
      <w:pPr>
        <w:spacing w:line="276" w:lineRule="auto"/>
        <w:jc w:val="right"/>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CASE NO. D1/96/2022</w:t>
      </w:r>
    </w:p>
    <w:p w14:paraId="6743ED88" w14:textId="77777777" w:rsidR="007626F9" w:rsidRPr="007626F9" w:rsidRDefault="007626F9" w:rsidP="007626F9">
      <w:pPr>
        <w:spacing w:line="276" w:lineRule="auto"/>
        <w:jc w:val="center"/>
        <w:rPr>
          <w:rFonts w:ascii="Cambria" w:eastAsia="Calibri" w:hAnsi="Cambria" w:cs="Times New Roman"/>
          <w:b/>
          <w:bCs/>
          <w:kern w:val="0"/>
          <w:sz w:val="28"/>
          <w:szCs w:val="28"/>
          <w14:ligatures w14:val="none"/>
        </w:rPr>
      </w:pPr>
      <w:r w:rsidRPr="007626F9">
        <w:rPr>
          <w:rFonts w:ascii="Cambria" w:eastAsia="Calibri" w:hAnsi="Cambria" w:cs="Times New Roman"/>
          <w:b/>
          <w:bCs/>
          <w:kern w:val="0"/>
          <w:sz w:val="28"/>
          <w:szCs w:val="28"/>
          <w14:ligatures w14:val="none"/>
        </w:rPr>
        <w:t>THE REPUBLIC</w:t>
      </w:r>
    </w:p>
    <w:p w14:paraId="33FC58D1" w14:textId="77777777" w:rsidR="007626F9" w:rsidRPr="007626F9" w:rsidRDefault="007626F9" w:rsidP="007626F9">
      <w:pPr>
        <w:spacing w:line="276" w:lineRule="auto"/>
        <w:jc w:val="center"/>
        <w:rPr>
          <w:rFonts w:ascii="Cambria" w:eastAsia="Calibri" w:hAnsi="Cambria" w:cs="Times New Roman"/>
          <w:b/>
          <w:bCs/>
          <w:kern w:val="0"/>
          <w:sz w:val="28"/>
          <w:szCs w:val="28"/>
          <w14:ligatures w14:val="none"/>
        </w:rPr>
      </w:pPr>
      <w:r w:rsidRPr="007626F9">
        <w:rPr>
          <w:rFonts w:ascii="Cambria" w:eastAsia="Calibri" w:hAnsi="Cambria" w:cs="Times New Roman"/>
          <w:b/>
          <w:bCs/>
          <w:kern w:val="0"/>
          <w:sz w:val="28"/>
          <w:szCs w:val="28"/>
          <w14:ligatures w14:val="none"/>
        </w:rPr>
        <w:t>VRS.</w:t>
      </w:r>
    </w:p>
    <w:p w14:paraId="72E81EAB" w14:textId="77777777" w:rsidR="007626F9" w:rsidRPr="007626F9" w:rsidRDefault="007626F9" w:rsidP="007626F9">
      <w:pPr>
        <w:pBdr>
          <w:bottom w:val="single" w:sz="12" w:space="1" w:color="auto"/>
        </w:pBdr>
        <w:spacing w:after="0" w:line="276" w:lineRule="auto"/>
        <w:jc w:val="center"/>
        <w:rPr>
          <w:rFonts w:ascii="Cambria" w:eastAsia="Calibri" w:hAnsi="Cambria" w:cs="Times New Roman"/>
          <w:b/>
          <w:bCs/>
          <w:kern w:val="0"/>
          <w:sz w:val="28"/>
          <w:szCs w:val="28"/>
          <w14:ligatures w14:val="none"/>
        </w:rPr>
      </w:pPr>
      <w:r w:rsidRPr="007626F9">
        <w:rPr>
          <w:rFonts w:ascii="Cambria" w:eastAsia="Calibri" w:hAnsi="Cambria" w:cs="Times New Roman"/>
          <w:b/>
          <w:bCs/>
          <w:kern w:val="0"/>
          <w:sz w:val="28"/>
          <w:szCs w:val="28"/>
          <w14:ligatures w14:val="none"/>
        </w:rPr>
        <w:t>1.RAZAK NARTEY</w:t>
      </w:r>
    </w:p>
    <w:p w14:paraId="4DED70AB" w14:textId="77777777" w:rsidR="007626F9" w:rsidRPr="007626F9" w:rsidRDefault="007626F9" w:rsidP="007626F9">
      <w:pPr>
        <w:pBdr>
          <w:bottom w:val="single" w:sz="12" w:space="1" w:color="auto"/>
        </w:pBdr>
        <w:spacing w:after="0" w:line="276" w:lineRule="auto"/>
        <w:jc w:val="center"/>
        <w:rPr>
          <w:rFonts w:ascii="Cambria" w:eastAsia="Calibri" w:hAnsi="Cambria" w:cs="Times New Roman"/>
          <w:b/>
          <w:bCs/>
          <w:kern w:val="0"/>
          <w:sz w:val="28"/>
          <w:szCs w:val="28"/>
          <w14:ligatures w14:val="none"/>
        </w:rPr>
      </w:pPr>
      <w:r w:rsidRPr="007626F9">
        <w:rPr>
          <w:rFonts w:ascii="Cambria" w:eastAsia="Calibri" w:hAnsi="Cambria" w:cs="Times New Roman"/>
          <w:b/>
          <w:bCs/>
          <w:kern w:val="0"/>
          <w:sz w:val="28"/>
          <w:szCs w:val="28"/>
          <w14:ligatures w14:val="none"/>
        </w:rPr>
        <w:t>2.WISDOM MACCATHY</w:t>
      </w:r>
    </w:p>
    <w:p w14:paraId="2908355A" w14:textId="77777777" w:rsidR="007626F9" w:rsidRPr="007626F9" w:rsidRDefault="007626F9" w:rsidP="007626F9">
      <w:pPr>
        <w:pBdr>
          <w:bottom w:val="single" w:sz="12" w:space="1" w:color="auto"/>
        </w:pBdr>
        <w:spacing w:line="276" w:lineRule="auto"/>
        <w:jc w:val="center"/>
        <w:rPr>
          <w:rFonts w:ascii="Cambria" w:eastAsia="Calibri" w:hAnsi="Cambria" w:cs="Times New Roman"/>
          <w:b/>
          <w:bCs/>
          <w:kern w:val="0"/>
          <w:sz w:val="28"/>
          <w:szCs w:val="28"/>
          <w14:ligatures w14:val="none"/>
        </w:rPr>
      </w:pPr>
    </w:p>
    <w:p w14:paraId="3AF38062" w14:textId="1C71F5F0" w:rsidR="007626F9" w:rsidRDefault="004704FC" w:rsidP="007626F9">
      <w:pPr>
        <w:spacing w:after="0" w:line="276" w:lineRule="auto"/>
        <w:rPr>
          <w:rFonts w:ascii="Cambria" w:eastAsia="Calibri" w:hAnsi="Cambria" w:cs="Times New Roman"/>
          <w:i/>
          <w:iCs/>
          <w:kern w:val="0"/>
          <w:sz w:val="28"/>
          <w:szCs w:val="28"/>
          <w14:ligatures w14:val="none"/>
        </w:rPr>
      </w:pPr>
      <w:r>
        <w:rPr>
          <w:rFonts w:ascii="Cambria" w:eastAsia="Calibri" w:hAnsi="Cambria" w:cs="Times New Roman"/>
          <w:i/>
          <w:iCs/>
          <w:kern w:val="0"/>
          <w:sz w:val="28"/>
          <w:szCs w:val="28"/>
          <w14:ligatures w14:val="none"/>
        </w:rPr>
        <w:t xml:space="preserve">FIRST </w:t>
      </w:r>
      <w:r w:rsidR="007626F9" w:rsidRPr="007626F9">
        <w:rPr>
          <w:rFonts w:ascii="Cambria" w:eastAsia="Calibri" w:hAnsi="Cambria" w:cs="Times New Roman"/>
          <w:i/>
          <w:iCs/>
          <w:kern w:val="0"/>
          <w:sz w:val="28"/>
          <w:szCs w:val="28"/>
          <w14:ligatures w14:val="none"/>
        </w:rPr>
        <w:t>ACCUSED PERSON PRESENT</w:t>
      </w:r>
    </w:p>
    <w:p w14:paraId="76D7D106" w14:textId="3B20D4C6" w:rsidR="004704FC" w:rsidRPr="007626F9" w:rsidRDefault="004704FC" w:rsidP="007626F9">
      <w:pPr>
        <w:spacing w:after="0" w:line="276" w:lineRule="auto"/>
        <w:rPr>
          <w:rFonts w:ascii="Cambria" w:eastAsia="Calibri" w:hAnsi="Cambria" w:cs="Times New Roman"/>
          <w:i/>
          <w:iCs/>
          <w:kern w:val="0"/>
          <w:sz w:val="28"/>
          <w:szCs w:val="28"/>
          <w14:ligatures w14:val="none"/>
        </w:rPr>
      </w:pPr>
      <w:r>
        <w:rPr>
          <w:rFonts w:ascii="Cambria" w:eastAsia="Calibri" w:hAnsi="Cambria" w:cs="Times New Roman"/>
          <w:i/>
          <w:iCs/>
          <w:kern w:val="0"/>
          <w:sz w:val="28"/>
          <w:szCs w:val="28"/>
          <w14:ligatures w14:val="none"/>
        </w:rPr>
        <w:t>SECOND ACCUSED PERSON ABSENT</w:t>
      </w:r>
    </w:p>
    <w:p w14:paraId="2A90FC68" w14:textId="77777777" w:rsidR="007626F9" w:rsidRPr="007626F9" w:rsidRDefault="007626F9" w:rsidP="007626F9">
      <w:pPr>
        <w:spacing w:after="0" w:line="276" w:lineRule="auto"/>
        <w:rPr>
          <w:rFonts w:ascii="Cambria" w:eastAsia="Calibri" w:hAnsi="Cambria" w:cs="Times New Roman"/>
          <w:i/>
          <w:iCs/>
          <w:kern w:val="0"/>
          <w:sz w:val="28"/>
          <w:szCs w:val="28"/>
          <w14:ligatures w14:val="none"/>
        </w:rPr>
      </w:pPr>
      <w:r w:rsidRPr="007626F9">
        <w:rPr>
          <w:rFonts w:ascii="Cambria" w:eastAsia="Calibri" w:hAnsi="Cambria" w:cs="Times New Roman"/>
          <w:i/>
          <w:iCs/>
          <w:kern w:val="0"/>
          <w:sz w:val="28"/>
          <w:szCs w:val="28"/>
          <w14:ligatures w14:val="none"/>
        </w:rPr>
        <w:t>PROSECUTION: C/INSP. AWUAH ANSAH PRESENT</w:t>
      </w:r>
    </w:p>
    <w:p w14:paraId="172FDC3A" w14:textId="54B6AC52" w:rsidR="007626F9" w:rsidRDefault="007626F9" w:rsidP="007626F9">
      <w:pPr>
        <w:pBdr>
          <w:bottom w:val="single" w:sz="12" w:space="1" w:color="auto"/>
        </w:pBdr>
        <w:spacing w:after="0" w:line="276" w:lineRule="auto"/>
        <w:rPr>
          <w:rFonts w:ascii="Cambria" w:eastAsia="Calibri" w:hAnsi="Cambria" w:cs="Times New Roman"/>
          <w:i/>
          <w:iCs/>
          <w:kern w:val="0"/>
          <w:sz w:val="28"/>
          <w:szCs w:val="28"/>
          <w14:ligatures w14:val="none"/>
        </w:rPr>
      </w:pPr>
      <w:r>
        <w:rPr>
          <w:rFonts w:ascii="Cambria" w:eastAsia="Calibri" w:hAnsi="Cambria" w:cs="Times New Roman"/>
          <w:i/>
          <w:iCs/>
          <w:kern w:val="0"/>
          <w:sz w:val="28"/>
          <w:szCs w:val="28"/>
          <w14:ligatures w14:val="none"/>
        </w:rPr>
        <w:t>COUNSEL: ANTHONY COBBINAH ESQ. FOR ACCUSED PERSONS PRESENT</w:t>
      </w:r>
    </w:p>
    <w:p w14:paraId="765570BE" w14:textId="643E34B9" w:rsidR="007626F9" w:rsidRDefault="007626F9" w:rsidP="007626F9">
      <w:pPr>
        <w:pBdr>
          <w:bottom w:val="single" w:sz="12" w:space="1" w:color="auto"/>
        </w:pBdr>
        <w:spacing w:after="0" w:line="276" w:lineRule="auto"/>
        <w:rPr>
          <w:rFonts w:ascii="Cambria" w:eastAsia="Calibri" w:hAnsi="Cambria" w:cs="Times New Roman"/>
          <w:i/>
          <w:iCs/>
          <w:kern w:val="0"/>
          <w:sz w:val="28"/>
          <w:szCs w:val="28"/>
          <w14:ligatures w14:val="none"/>
        </w:rPr>
      </w:pPr>
      <w:r>
        <w:rPr>
          <w:rFonts w:ascii="Cambria" w:eastAsia="Calibri" w:hAnsi="Cambria" w:cs="Times New Roman"/>
          <w:i/>
          <w:iCs/>
          <w:kern w:val="0"/>
          <w:sz w:val="28"/>
          <w:szCs w:val="28"/>
          <w14:ligatures w14:val="none"/>
        </w:rPr>
        <w:tab/>
        <w:t xml:space="preserve">        S.S. AGBEEHIA ESQ. WATCHING BRIEF FOR COMPLAINANT   </w:t>
      </w:r>
    </w:p>
    <w:p w14:paraId="6F25F302" w14:textId="1F04A757" w:rsidR="007626F9" w:rsidRPr="007626F9" w:rsidRDefault="007626F9" w:rsidP="007626F9">
      <w:pPr>
        <w:pBdr>
          <w:bottom w:val="single" w:sz="12" w:space="1" w:color="auto"/>
        </w:pBdr>
        <w:spacing w:after="0" w:line="276" w:lineRule="auto"/>
        <w:rPr>
          <w:rFonts w:ascii="Cambria" w:eastAsia="Calibri" w:hAnsi="Cambria" w:cs="Times New Roman"/>
          <w:i/>
          <w:iCs/>
          <w:kern w:val="0"/>
          <w:sz w:val="28"/>
          <w:szCs w:val="28"/>
          <w14:ligatures w14:val="none"/>
        </w:rPr>
      </w:pPr>
      <w:r>
        <w:rPr>
          <w:rFonts w:ascii="Cambria" w:eastAsia="Calibri" w:hAnsi="Cambria" w:cs="Times New Roman"/>
          <w:i/>
          <w:iCs/>
          <w:kern w:val="0"/>
          <w:sz w:val="28"/>
          <w:szCs w:val="28"/>
          <w14:ligatures w14:val="none"/>
        </w:rPr>
        <w:tab/>
        <w:t xml:space="preserve">       </w:t>
      </w:r>
      <w:r w:rsidR="00010505">
        <w:rPr>
          <w:rFonts w:ascii="Cambria" w:eastAsia="Calibri" w:hAnsi="Cambria" w:cs="Times New Roman"/>
          <w:i/>
          <w:iCs/>
          <w:kern w:val="0"/>
          <w:sz w:val="28"/>
          <w:szCs w:val="28"/>
          <w14:ligatures w14:val="none"/>
        </w:rPr>
        <w:t>PRE</w:t>
      </w:r>
      <w:r>
        <w:rPr>
          <w:rFonts w:ascii="Cambria" w:eastAsia="Calibri" w:hAnsi="Cambria" w:cs="Times New Roman"/>
          <w:i/>
          <w:iCs/>
          <w:kern w:val="0"/>
          <w:sz w:val="28"/>
          <w:szCs w:val="28"/>
          <w14:ligatures w14:val="none"/>
        </w:rPr>
        <w:t>SENT</w:t>
      </w:r>
    </w:p>
    <w:p w14:paraId="22206AA0" w14:textId="77777777" w:rsidR="007626F9" w:rsidRPr="007626F9" w:rsidRDefault="007626F9" w:rsidP="007626F9">
      <w:pPr>
        <w:pBdr>
          <w:bottom w:val="single" w:sz="12" w:space="1" w:color="auto"/>
        </w:pBdr>
        <w:spacing w:after="0" w:line="276" w:lineRule="auto"/>
        <w:rPr>
          <w:rFonts w:ascii="Cambria" w:eastAsia="Calibri" w:hAnsi="Cambria" w:cs="Times New Roman"/>
          <w:kern w:val="0"/>
          <w:sz w:val="28"/>
          <w:szCs w:val="28"/>
          <w14:ligatures w14:val="none"/>
        </w:rPr>
      </w:pPr>
    </w:p>
    <w:p w14:paraId="50A72F86" w14:textId="41FD24A7" w:rsidR="007626F9" w:rsidRPr="007626F9" w:rsidRDefault="007626F9" w:rsidP="007626F9">
      <w:pPr>
        <w:pBdr>
          <w:top w:val="single" w:sz="12" w:space="1" w:color="auto"/>
          <w:bottom w:val="single" w:sz="12" w:space="1" w:color="auto"/>
        </w:pBdr>
        <w:spacing w:after="0" w:line="276" w:lineRule="auto"/>
        <w:jc w:val="center"/>
        <w:rPr>
          <w:rFonts w:ascii="Cambria" w:eastAsia="Calibri" w:hAnsi="Cambria" w:cs="Times New Roman"/>
          <w:b/>
          <w:bCs/>
          <w:kern w:val="0"/>
          <w:sz w:val="28"/>
          <w:szCs w:val="28"/>
          <w14:ligatures w14:val="none"/>
        </w:rPr>
      </w:pPr>
      <w:r>
        <w:rPr>
          <w:rFonts w:ascii="Cambria" w:eastAsia="Calibri" w:hAnsi="Cambria" w:cs="Times New Roman"/>
          <w:b/>
          <w:bCs/>
          <w:kern w:val="0"/>
          <w:sz w:val="28"/>
          <w:szCs w:val="28"/>
          <w14:ligatures w14:val="none"/>
        </w:rPr>
        <w:t>JUDGMENT</w:t>
      </w:r>
    </w:p>
    <w:p w14:paraId="38D718BF" w14:textId="77777777" w:rsidR="007626F9" w:rsidRPr="007626F9" w:rsidRDefault="007626F9" w:rsidP="007626F9">
      <w:pPr>
        <w:spacing w:line="256" w:lineRule="auto"/>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 xml:space="preserve">The Accused Persons are charged with one count of </w:t>
      </w:r>
      <w:bookmarkStart w:id="1" w:name="_Hlk102594394"/>
      <w:r w:rsidRPr="007626F9">
        <w:rPr>
          <w:rFonts w:ascii="Cambria" w:eastAsia="Calibri" w:hAnsi="Cambria" w:cs="Times New Roman"/>
          <w:kern w:val="0"/>
          <w:sz w:val="28"/>
          <w:szCs w:val="28"/>
          <w14:ligatures w14:val="none"/>
        </w:rPr>
        <w:t xml:space="preserve">Conspiracy to wit Causing Unlawful </w:t>
      </w:r>
      <w:bookmarkEnd w:id="0"/>
      <w:r w:rsidRPr="007626F9">
        <w:rPr>
          <w:rFonts w:ascii="Cambria" w:eastAsia="Calibri" w:hAnsi="Cambria" w:cs="Times New Roman"/>
          <w:kern w:val="0"/>
          <w:sz w:val="28"/>
          <w:szCs w:val="28"/>
          <w14:ligatures w14:val="none"/>
        </w:rPr>
        <w:t>Damage and one count of Causing Unlawful Damage contrary to sections 23(1) and 172 of the Criminal Offences Act, 1960 (Act 29).</w:t>
      </w:r>
    </w:p>
    <w:bookmarkEnd w:id="1"/>
    <w:p w14:paraId="2EDD34E6" w14:textId="77777777" w:rsidR="007626F9" w:rsidRPr="007626F9" w:rsidRDefault="007626F9" w:rsidP="007626F9">
      <w:pPr>
        <w:spacing w:line="256" w:lineRule="auto"/>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The facts as presented by prosecution are that the complainant who owns a farm has been experiencing illegal sand winning activities on a portion of his farmland which has resulted in the damage of his farm products being cassava, sugar cane and pineapples. Prosecution says that on 24</w:t>
      </w:r>
      <w:r w:rsidRPr="007626F9">
        <w:rPr>
          <w:rFonts w:ascii="Cambria" w:eastAsia="Calibri" w:hAnsi="Cambria" w:cs="Times New Roman"/>
          <w:kern w:val="0"/>
          <w:sz w:val="28"/>
          <w:szCs w:val="28"/>
          <w:vertAlign w:val="superscript"/>
          <w14:ligatures w14:val="none"/>
        </w:rPr>
        <w:t>th</w:t>
      </w:r>
      <w:r w:rsidRPr="007626F9">
        <w:rPr>
          <w:rFonts w:ascii="Cambria" w:eastAsia="Calibri" w:hAnsi="Cambria" w:cs="Times New Roman"/>
          <w:kern w:val="0"/>
          <w:sz w:val="28"/>
          <w:szCs w:val="28"/>
          <w14:ligatures w14:val="none"/>
        </w:rPr>
        <w:t xml:space="preserve"> March, 2020 at about 6:00am, complainant visited the farm and met the Accused Persons winning sand where the produce had been cultivated thereby causing damage to them.  Complainant made a report at the Amasaman Division Police and the Accused Persons bolted with the payloader machine upon seeing the police. Prosecution says that a request was sent to the Ga South Municipal Agric Officer to assist evaluate the cost of the damage caused and upon receipt of the evaluation report the Accused Persons were charged with the offence and arraigned before this court.</w:t>
      </w:r>
    </w:p>
    <w:p w14:paraId="77432967" w14:textId="77777777" w:rsidR="007626F9" w:rsidRPr="007626F9" w:rsidRDefault="007626F9" w:rsidP="007626F9">
      <w:pPr>
        <w:spacing w:line="256" w:lineRule="auto"/>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lastRenderedPageBreak/>
        <w:t>Prosecution called three witnesses in support of its case. PW1 was Daniel Kofi Dzotsi, PW2 was Daniel Lartey and PW3 was the Investigator D/Insp Alexander Barnes.</w:t>
      </w:r>
    </w:p>
    <w:p w14:paraId="66984A0E" w14:textId="77777777" w:rsidR="007626F9" w:rsidRPr="007626F9" w:rsidRDefault="007626F9" w:rsidP="007626F9">
      <w:pPr>
        <w:spacing w:line="256" w:lineRule="auto"/>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PW1 testified that on 24</w:t>
      </w:r>
      <w:r w:rsidRPr="007626F9">
        <w:rPr>
          <w:rFonts w:ascii="Cambria" w:eastAsia="Calibri" w:hAnsi="Cambria" w:cs="Times New Roman"/>
          <w:kern w:val="0"/>
          <w:sz w:val="28"/>
          <w:szCs w:val="28"/>
          <w:vertAlign w:val="superscript"/>
          <w14:ligatures w14:val="none"/>
        </w:rPr>
        <w:t>th</w:t>
      </w:r>
      <w:r w:rsidRPr="007626F9">
        <w:rPr>
          <w:rFonts w:ascii="Cambria" w:eastAsia="Calibri" w:hAnsi="Cambria" w:cs="Times New Roman"/>
          <w:kern w:val="0"/>
          <w:sz w:val="28"/>
          <w:szCs w:val="28"/>
          <w14:ligatures w14:val="none"/>
        </w:rPr>
        <w:t xml:space="preserve"> March, 2019, he visited his farm and saw that land guards were winning sand on the land and destroying his farm produce which included pineapples, sugar cane and cassava. According to him, the damage on the land is such that he cannot farm on it anymore. He testified that the Accused persons were among those who caused damage to the farm and when he went to the site with the Police, A1 run away and he was later arrested.</w:t>
      </w:r>
    </w:p>
    <w:p w14:paraId="7B5DDBD1" w14:textId="49C25A71" w:rsidR="007626F9" w:rsidRPr="007626F9" w:rsidRDefault="007626F9" w:rsidP="007626F9">
      <w:pPr>
        <w:spacing w:line="256" w:lineRule="auto"/>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PW2 testified that he will like to bring to the attention of the Police sand winning activities occurring at Yev</w:t>
      </w:r>
      <w:r w:rsidR="00B20E89">
        <w:rPr>
          <w:rFonts w:ascii="Cambria" w:eastAsia="Calibri" w:hAnsi="Cambria" w:cs="Times New Roman"/>
          <w:kern w:val="0"/>
          <w:sz w:val="28"/>
          <w:szCs w:val="28"/>
          <w14:ligatures w14:val="none"/>
        </w:rPr>
        <w:t>a</w:t>
      </w:r>
      <w:r w:rsidRPr="007626F9">
        <w:rPr>
          <w:rFonts w:ascii="Cambria" w:eastAsia="Calibri" w:hAnsi="Cambria" w:cs="Times New Roman"/>
          <w:kern w:val="0"/>
          <w:sz w:val="28"/>
          <w:szCs w:val="28"/>
          <w14:ligatures w14:val="none"/>
        </w:rPr>
        <w:t>ho Farms and that the illegal sand winning by the accused cause damage to crops and border pillars and has created holes on the land and made it difficult to continue with farming activities.</w:t>
      </w:r>
    </w:p>
    <w:p w14:paraId="5AC6CDDF" w14:textId="77777777" w:rsidR="007626F9" w:rsidRPr="007626F9" w:rsidRDefault="007626F9" w:rsidP="007626F9">
      <w:pPr>
        <w:spacing w:line="256" w:lineRule="auto"/>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PW3 testified that on 24</w:t>
      </w:r>
      <w:r w:rsidRPr="007626F9">
        <w:rPr>
          <w:rFonts w:ascii="Cambria" w:eastAsia="Calibri" w:hAnsi="Cambria" w:cs="Times New Roman"/>
          <w:kern w:val="0"/>
          <w:sz w:val="28"/>
          <w:szCs w:val="28"/>
          <w:vertAlign w:val="superscript"/>
          <w14:ligatures w14:val="none"/>
        </w:rPr>
        <w:t>th</w:t>
      </w:r>
      <w:r w:rsidRPr="007626F9">
        <w:rPr>
          <w:rFonts w:ascii="Cambria" w:eastAsia="Calibri" w:hAnsi="Cambria" w:cs="Times New Roman"/>
          <w:kern w:val="0"/>
          <w:sz w:val="28"/>
          <w:szCs w:val="28"/>
          <w14:ligatures w14:val="none"/>
        </w:rPr>
        <w:t xml:space="preserve"> March, 2020, PW1 and PW2 made a report of sand winning on their farm. He testified that a Police patrol team quickly accompanied them to the site and when the Accused persons saw them, they took to their heels. According to him, one of the loading boys was arrested and sent to the station and cautioned and released. He tendered the following exhibits which were admitted and marked as follows:</w:t>
      </w:r>
    </w:p>
    <w:p w14:paraId="17D4C20D" w14:textId="77777777" w:rsidR="007626F9" w:rsidRPr="007626F9" w:rsidRDefault="007626F9" w:rsidP="007626F9">
      <w:pPr>
        <w:numPr>
          <w:ilvl w:val="0"/>
          <w:numId w:val="1"/>
        </w:numPr>
        <w:spacing w:line="256" w:lineRule="auto"/>
        <w:contextualSpacing/>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Exhibit A &amp; A1: Charge Sheet and Brief Facts</w:t>
      </w:r>
    </w:p>
    <w:p w14:paraId="58251EA0" w14:textId="77777777" w:rsidR="007626F9" w:rsidRPr="007626F9" w:rsidRDefault="007626F9" w:rsidP="007626F9">
      <w:pPr>
        <w:numPr>
          <w:ilvl w:val="0"/>
          <w:numId w:val="1"/>
        </w:numPr>
        <w:spacing w:line="256" w:lineRule="auto"/>
        <w:contextualSpacing/>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Exhibit B: Statement of PW1</w:t>
      </w:r>
    </w:p>
    <w:p w14:paraId="2314B8EB" w14:textId="77777777" w:rsidR="007626F9" w:rsidRPr="007626F9" w:rsidRDefault="007626F9" w:rsidP="007626F9">
      <w:pPr>
        <w:numPr>
          <w:ilvl w:val="0"/>
          <w:numId w:val="1"/>
        </w:numPr>
        <w:spacing w:line="256" w:lineRule="auto"/>
        <w:contextualSpacing/>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Exhibit C: Statement of PW2</w:t>
      </w:r>
    </w:p>
    <w:p w14:paraId="6D06CC36" w14:textId="77777777" w:rsidR="007626F9" w:rsidRPr="007626F9" w:rsidRDefault="007626F9" w:rsidP="007626F9">
      <w:pPr>
        <w:numPr>
          <w:ilvl w:val="0"/>
          <w:numId w:val="1"/>
        </w:numPr>
        <w:spacing w:line="256" w:lineRule="auto"/>
        <w:contextualSpacing/>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Exhibit D &amp; D1: Investigative and Charge Cautioned Statement of A1</w:t>
      </w:r>
    </w:p>
    <w:p w14:paraId="38D52057" w14:textId="77777777" w:rsidR="007626F9" w:rsidRPr="007626F9" w:rsidRDefault="007626F9" w:rsidP="007626F9">
      <w:pPr>
        <w:numPr>
          <w:ilvl w:val="0"/>
          <w:numId w:val="1"/>
        </w:numPr>
        <w:spacing w:line="256" w:lineRule="auto"/>
        <w:contextualSpacing/>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Exhibit E &amp; E1: Investigative and Charge Cautioned Statement of A2</w:t>
      </w:r>
    </w:p>
    <w:p w14:paraId="634672A9" w14:textId="77777777" w:rsidR="007626F9" w:rsidRPr="007626F9" w:rsidRDefault="007626F9" w:rsidP="007626F9">
      <w:pPr>
        <w:numPr>
          <w:ilvl w:val="0"/>
          <w:numId w:val="1"/>
        </w:numPr>
        <w:spacing w:line="256" w:lineRule="auto"/>
        <w:contextualSpacing/>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 xml:space="preserve">Exhibit F: Investigative Cautioned Statement of Ebenezer Quartey </w:t>
      </w:r>
    </w:p>
    <w:p w14:paraId="20A99B0F" w14:textId="77777777" w:rsidR="007626F9" w:rsidRPr="007626F9" w:rsidRDefault="007626F9" w:rsidP="007626F9">
      <w:pPr>
        <w:numPr>
          <w:ilvl w:val="0"/>
          <w:numId w:val="1"/>
        </w:numPr>
        <w:spacing w:line="256" w:lineRule="auto"/>
        <w:contextualSpacing/>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Exhibit G: Site Plan</w:t>
      </w:r>
    </w:p>
    <w:p w14:paraId="25AE43E0" w14:textId="77777777" w:rsidR="007626F9" w:rsidRPr="007626F9" w:rsidRDefault="007626F9" w:rsidP="007626F9">
      <w:pPr>
        <w:numPr>
          <w:ilvl w:val="0"/>
          <w:numId w:val="1"/>
        </w:numPr>
        <w:spacing w:line="256" w:lineRule="auto"/>
        <w:contextualSpacing/>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Exhibit H: Land Certificate</w:t>
      </w:r>
    </w:p>
    <w:p w14:paraId="296EAF69" w14:textId="77777777" w:rsidR="007626F9" w:rsidRPr="007626F9" w:rsidRDefault="007626F9" w:rsidP="007626F9">
      <w:pPr>
        <w:numPr>
          <w:ilvl w:val="0"/>
          <w:numId w:val="1"/>
        </w:numPr>
        <w:spacing w:line="256" w:lineRule="auto"/>
        <w:contextualSpacing/>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Exhibit J: Letter dated 2</w:t>
      </w:r>
      <w:r w:rsidRPr="007626F9">
        <w:rPr>
          <w:rFonts w:ascii="Cambria" w:eastAsia="Calibri" w:hAnsi="Cambria" w:cs="Times New Roman"/>
          <w:kern w:val="0"/>
          <w:sz w:val="28"/>
          <w:szCs w:val="28"/>
          <w:vertAlign w:val="superscript"/>
          <w14:ligatures w14:val="none"/>
        </w:rPr>
        <w:t>nd</w:t>
      </w:r>
      <w:r w:rsidRPr="007626F9">
        <w:rPr>
          <w:rFonts w:ascii="Cambria" w:eastAsia="Calibri" w:hAnsi="Cambria" w:cs="Times New Roman"/>
          <w:kern w:val="0"/>
          <w:sz w:val="28"/>
          <w:szCs w:val="28"/>
          <w14:ligatures w14:val="none"/>
        </w:rPr>
        <w:t xml:space="preserve"> April, 2020</w:t>
      </w:r>
    </w:p>
    <w:p w14:paraId="164C0A1E" w14:textId="77777777" w:rsidR="007626F9" w:rsidRPr="007626F9" w:rsidRDefault="007626F9" w:rsidP="007626F9">
      <w:pPr>
        <w:numPr>
          <w:ilvl w:val="0"/>
          <w:numId w:val="1"/>
        </w:numPr>
        <w:spacing w:line="256" w:lineRule="auto"/>
        <w:contextualSpacing/>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Exhibit K: Report on Destruction of Farm Land</w:t>
      </w:r>
    </w:p>
    <w:p w14:paraId="7E2CD27F" w14:textId="77777777" w:rsidR="007626F9" w:rsidRPr="007626F9" w:rsidRDefault="007626F9" w:rsidP="007626F9">
      <w:pPr>
        <w:numPr>
          <w:ilvl w:val="0"/>
          <w:numId w:val="1"/>
        </w:numPr>
        <w:spacing w:line="256" w:lineRule="auto"/>
        <w:contextualSpacing/>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Exhibit L: Letter dated 19</w:t>
      </w:r>
      <w:r w:rsidRPr="007626F9">
        <w:rPr>
          <w:rFonts w:ascii="Cambria" w:eastAsia="Calibri" w:hAnsi="Cambria" w:cs="Times New Roman"/>
          <w:kern w:val="0"/>
          <w:sz w:val="28"/>
          <w:szCs w:val="28"/>
          <w:vertAlign w:val="superscript"/>
          <w14:ligatures w14:val="none"/>
        </w:rPr>
        <w:t>th</w:t>
      </w:r>
      <w:r w:rsidRPr="007626F9">
        <w:rPr>
          <w:rFonts w:ascii="Cambria" w:eastAsia="Calibri" w:hAnsi="Cambria" w:cs="Times New Roman"/>
          <w:kern w:val="0"/>
          <w:sz w:val="28"/>
          <w:szCs w:val="28"/>
          <w14:ligatures w14:val="none"/>
        </w:rPr>
        <w:t xml:space="preserve"> May, 2020</w:t>
      </w:r>
    </w:p>
    <w:p w14:paraId="18945BC8" w14:textId="77777777" w:rsidR="007626F9" w:rsidRPr="007626F9" w:rsidRDefault="007626F9" w:rsidP="007626F9">
      <w:pPr>
        <w:numPr>
          <w:ilvl w:val="0"/>
          <w:numId w:val="1"/>
        </w:numPr>
        <w:spacing w:line="256" w:lineRule="auto"/>
        <w:contextualSpacing/>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Exhibit N: Indenture</w:t>
      </w:r>
    </w:p>
    <w:p w14:paraId="0E91D50F" w14:textId="77777777" w:rsidR="007626F9" w:rsidRDefault="007626F9" w:rsidP="007626F9">
      <w:pPr>
        <w:numPr>
          <w:ilvl w:val="0"/>
          <w:numId w:val="1"/>
        </w:numPr>
        <w:spacing w:line="256" w:lineRule="auto"/>
        <w:contextualSpacing/>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Exhibit P: Photographs of farmland</w:t>
      </w:r>
    </w:p>
    <w:p w14:paraId="3313BC41" w14:textId="77777777" w:rsidR="00B427A3" w:rsidRPr="007626F9" w:rsidRDefault="00B427A3" w:rsidP="00B427A3">
      <w:pPr>
        <w:spacing w:line="256" w:lineRule="auto"/>
        <w:ind w:left="720"/>
        <w:contextualSpacing/>
        <w:jc w:val="both"/>
        <w:rPr>
          <w:rFonts w:ascii="Cambria" w:eastAsia="Calibri" w:hAnsi="Cambria" w:cs="Times New Roman"/>
          <w:kern w:val="0"/>
          <w:sz w:val="28"/>
          <w:szCs w:val="28"/>
          <w14:ligatures w14:val="none"/>
        </w:rPr>
      </w:pPr>
    </w:p>
    <w:p w14:paraId="0BA76C48" w14:textId="77777777" w:rsidR="007626F9" w:rsidRPr="007626F9" w:rsidRDefault="007626F9" w:rsidP="007626F9">
      <w:pPr>
        <w:spacing w:line="256" w:lineRule="auto"/>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Prosecution’s last witness failed to appear before the court on 4</w:t>
      </w:r>
      <w:r w:rsidRPr="007626F9">
        <w:rPr>
          <w:rFonts w:ascii="Cambria" w:eastAsia="Calibri" w:hAnsi="Cambria" w:cs="Times New Roman"/>
          <w:kern w:val="0"/>
          <w:sz w:val="28"/>
          <w:szCs w:val="28"/>
          <w:vertAlign w:val="superscript"/>
          <w14:ligatures w14:val="none"/>
        </w:rPr>
        <w:t>th</w:t>
      </w:r>
      <w:r w:rsidRPr="007626F9">
        <w:rPr>
          <w:rFonts w:ascii="Cambria" w:eastAsia="Calibri" w:hAnsi="Cambria" w:cs="Times New Roman"/>
          <w:kern w:val="0"/>
          <w:sz w:val="28"/>
          <w:szCs w:val="28"/>
          <w14:ligatures w14:val="none"/>
        </w:rPr>
        <w:t xml:space="preserve"> April, 2022 and this court proceeded to close the case of Prosecution to make a </w:t>
      </w:r>
      <w:r w:rsidRPr="007626F9">
        <w:rPr>
          <w:rFonts w:ascii="Cambria" w:eastAsia="Calibri" w:hAnsi="Cambria" w:cs="Times New Roman"/>
          <w:kern w:val="0"/>
          <w:sz w:val="28"/>
          <w:szCs w:val="28"/>
          <w14:ligatures w14:val="none"/>
        </w:rPr>
        <w:lastRenderedPageBreak/>
        <w:t>determination as to whether or not a prima facie case has been made against the Accused Persons.</w:t>
      </w:r>
    </w:p>
    <w:p w14:paraId="3B308ACB" w14:textId="77777777" w:rsidR="00B427A3" w:rsidRDefault="007626F9" w:rsidP="007626F9">
      <w:pPr>
        <w:spacing w:line="256" w:lineRule="auto"/>
        <w:jc w:val="both"/>
        <w:rPr>
          <w:rFonts w:ascii="Cambria" w:eastAsia="Calibri" w:hAnsi="Cambria" w:cs="Times New Roman"/>
          <w:kern w:val="0"/>
          <w:sz w:val="28"/>
          <w:szCs w:val="28"/>
          <w14:ligatures w14:val="none"/>
        </w:rPr>
      </w:pPr>
      <w:r>
        <w:rPr>
          <w:rFonts w:ascii="Cambria" w:eastAsia="Calibri" w:hAnsi="Cambria" w:cs="Times New Roman"/>
          <w:kern w:val="0"/>
          <w:sz w:val="28"/>
          <w:szCs w:val="28"/>
          <w14:ligatures w14:val="none"/>
        </w:rPr>
        <w:t>By a Ruling dated 17</w:t>
      </w:r>
      <w:r w:rsidRPr="007626F9">
        <w:rPr>
          <w:rFonts w:ascii="Cambria" w:eastAsia="Calibri" w:hAnsi="Cambria" w:cs="Times New Roman"/>
          <w:kern w:val="0"/>
          <w:sz w:val="28"/>
          <w:szCs w:val="28"/>
          <w:vertAlign w:val="superscript"/>
          <w14:ligatures w14:val="none"/>
        </w:rPr>
        <w:t>th</w:t>
      </w:r>
      <w:r>
        <w:rPr>
          <w:rFonts w:ascii="Cambria" w:eastAsia="Calibri" w:hAnsi="Cambria" w:cs="Times New Roman"/>
          <w:kern w:val="0"/>
          <w:sz w:val="28"/>
          <w:szCs w:val="28"/>
          <w14:ligatures w14:val="none"/>
        </w:rPr>
        <w:t xml:space="preserve"> May, 2022, the Accused Persons were called upon to open their defence to the charges levelled. A1 </w:t>
      </w:r>
      <w:r w:rsidR="00B427A3">
        <w:rPr>
          <w:rFonts w:ascii="Cambria" w:eastAsia="Calibri" w:hAnsi="Cambria" w:cs="Times New Roman"/>
          <w:kern w:val="0"/>
          <w:sz w:val="28"/>
          <w:szCs w:val="28"/>
          <w14:ligatures w14:val="none"/>
        </w:rPr>
        <w:t>testified</w:t>
      </w:r>
      <w:r>
        <w:rPr>
          <w:rFonts w:ascii="Cambria" w:eastAsia="Calibri" w:hAnsi="Cambria" w:cs="Times New Roman"/>
          <w:kern w:val="0"/>
          <w:sz w:val="28"/>
          <w:szCs w:val="28"/>
          <w14:ligatures w14:val="none"/>
        </w:rPr>
        <w:t xml:space="preserve"> by means of a Witness Statement filed on 19</w:t>
      </w:r>
      <w:r w:rsidRPr="007626F9">
        <w:rPr>
          <w:rFonts w:ascii="Cambria" w:eastAsia="Calibri" w:hAnsi="Cambria" w:cs="Times New Roman"/>
          <w:kern w:val="0"/>
          <w:sz w:val="28"/>
          <w:szCs w:val="28"/>
          <w:vertAlign w:val="superscript"/>
          <w14:ligatures w14:val="none"/>
        </w:rPr>
        <w:t>th</w:t>
      </w:r>
      <w:r>
        <w:rPr>
          <w:rFonts w:ascii="Cambria" w:eastAsia="Calibri" w:hAnsi="Cambria" w:cs="Times New Roman"/>
          <w:kern w:val="0"/>
          <w:sz w:val="28"/>
          <w:szCs w:val="28"/>
          <w14:ligatures w14:val="none"/>
        </w:rPr>
        <w:t xml:space="preserve"> July, 2023. </w:t>
      </w:r>
      <w:r w:rsidR="00B427A3">
        <w:rPr>
          <w:rFonts w:ascii="Cambria" w:eastAsia="Calibri" w:hAnsi="Cambria" w:cs="Times New Roman"/>
          <w:kern w:val="0"/>
          <w:sz w:val="28"/>
          <w:szCs w:val="28"/>
          <w14:ligatures w14:val="none"/>
        </w:rPr>
        <w:t>According</w:t>
      </w:r>
      <w:r>
        <w:rPr>
          <w:rFonts w:ascii="Cambria" w:eastAsia="Calibri" w:hAnsi="Cambria" w:cs="Times New Roman"/>
          <w:kern w:val="0"/>
          <w:sz w:val="28"/>
          <w:szCs w:val="28"/>
          <w14:ligatures w14:val="none"/>
        </w:rPr>
        <w:t xml:space="preserve"> to him, he is a member of the Akwanoor Royal family of Manhean near Amasaman. He testified that complainant leased land from Adams Addy who had no capacity to grant Asahlaja lands by virtue of a recent Supreme Court decision. According to him, the court made consequential orders that any grant of Ashalaja lands made by Adams Addy is void.</w:t>
      </w:r>
      <w:r w:rsidR="00BC37C4">
        <w:rPr>
          <w:rFonts w:ascii="Cambria" w:eastAsia="Calibri" w:hAnsi="Cambria" w:cs="Times New Roman"/>
          <w:kern w:val="0"/>
          <w:sz w:val="28"/>
          <w:szCs w:val="28"/>
          <w14:ligatures w14:val="none"/>
        </w:rPr>
        <w:t xml:space="preserve"> He testified that one MC Daniel Lartey, a relative of </w:t>
      </w:r>
      <w:r w:rsidR="00B427A3">
        <w:rPr>
          <w:rFonts w:ascii="Cambria" w:eastAsia="Calibri" w:hAnsi="Cambria" w:cs="Times New Roman"/>
          <w:kern w:val="0"/>
          <w:sz w:val="28"/>
          <w:szCs w:val="28"/>
          <w14:ligatures w14:val="none"/>
        </w:rPr>
        <w:t>complainant</w:t>
      </w:r>
      <w:r w:rsidR="00BC37C4">
        <w:rPr>
          <w:rFonts w:ascii="Cambria" w:eastAsia="Calibri" w:hAnsi="Cambria" w:cs="Times New Roman"/>
          <w:kern w:val="0"/>
          <w:sz w:val="28"/>
          <w:szCs w:val="28"/>
          <w14:ligatures w14:val="none"/>
        </w:rPr>
        <w:t xml:space="preserve"> with the help of caretakers named Daniel Nii Nartey and Ebenezer Sackey went into an agreement with a contractor name Kujays Enterprise to grade the whole land which is about 300 acres and which includes that of complainant. He testified that it was the said contractor who won sand on the land. He tendered the said Agreement as Exhibit 1. He testified that in the course of winning sand, MC Daniel reported the caretakers at the Police Headquarters and they were arrested however after the police saw the Agreement they were granted bail. </w:t>
      </w:r>
    </w:p>
    <w:p w14:paraId="0D05991D" w14:textId="3D909368" w:rsidR="007626F9" w:rsidRDefault="00BC37C4" w:rsidP="007626F9">
      <w:pPr>
        <w:spacing w:line="256" w:lineRule="auto"/>
        <w:jc w:val="both"/>
        <w:rPr>
          <w:rFonts w:ascii="Cambria" w:eastAsia="Calibri" w:hAnsi="Cambria" w:cs="Times New Roman"/>
          <w:kern w:val="0"/>
          <w:sz w:val="28"/>
          <w:szCs w:val="28"/>
          <w14:ligatures w14:val="none"/>
        </w:rPr>
      </w:pPr>
      <w:r>
        <w:rPr>
          <w:rFonts w:ascii="Cambria" w:eastAsia="Calibri" w:hAnsi="Cambria" w:cs="Times New Roman"/>
          <w:kern w:val="0"/>
          <w:sz w:val="28"/>
          <w:szCs w:val="28"/>
          <w14:ligatures w14:val="none"/>
        </w:rPr>
        <w:t>He testified that in or around the year 2019, the land was sold to one Alhaji Bamba by the Akwannor Royal Family and the said Alhjai took possession of the land by erecting corner pillars. According to him, the transaction was reduced into writing and he tendered the indenture as Exhibit 2. He stated that the corner pillars were destroyed by unidentified trespassers and the said Alhaji was approached by the Nii Adjin Family of Manhean who claimed ownership of the land so he went to see them and was issued with a receipt a copy of which he tendered as Exhibit 3.</w:t>
      </w:r>
      <w:r w:rsidR="002D17E9">
        <w:rPr>
          <w:rFonts w:ascii="Cambria" w:eastAsia="Calibri" w:hAnsi="Cambria" w:cs="Times New Roman"/>
          <w:kern w:val="0"/>
          <w:sz w:val="28"/>
          <w:szCs w:val="28"/>
          <w14:ligatures w14:val="none"/>
        </w:rPr>
        <w:t xml:space="preserve"> He stated that the Alhaji went into possession by erecting corner pillars and digging holes on the land. He stated that he hired earth moving machine which levelled the land. He testified that there were no crops on the land and the accused persons were doing their legitimate work by levelling their land. He stated that at the time of the sand winning complainant had not planted crops on the land and only recently planted crops when complainant issued a civil action against them and others at the High Court. He tendered a copy of the Writ of Summons as Exhibit 4. He stated that when the land was sold to Alhaji there were no crops on the land. He testified that complainant does not own the land and the family he claims granted the land to him is the rightful owner</w:t>
      </w:r>
      <w:r w:rsidR="004704FC">
        <w:rPr>
          <w:rFonts w:ascii="Cambria" w:eastAsia="Calibri" w:hAnsi="Cambria" w:cs="Times New Roman"/>
          <w:kern w:val="0"/>
          <w:sz w:val="28"/>
          <w:szCs w:val="28"/>
          <w14:ligatures w14:val="none"/>
        </w:rPr>
        <w:t>. According to him</w:t>
      </w:r>
      <w:r w:rsidR="002D17E9">
        <w:rPr>
          <w:rFonts w:ascii="Cambria" w:eastAsia="Calibri" w:hAnsi="Cambria" w:cs="Times New Roman"/>
          <w:kern w:val="0"/>
          <w:sz w:val="28"/>
          <w:szCs w:val="28"/>
          <w14:ligatures w14:val="none"/>
        </w:rPr>
        <w:t xml:space="preserve"> the head of the </w:t>
      </w:r>
      <w:r w:rsidR="002D17E9" w:rsidRPr="004704FC">
        <w:rPr>
          <w:rFonts w:ascii="Cambria" w:eastAsia="Calibri" w:hAnsi="Cambria" w:cs="Times New Roman"/>
          <w:kern w:val="0"/>
          <w:sz w:val="28"/>
          <w:szCs w:val="28"/>
          <w14:ligatures w14:val="none"/>
        </w:rPr>
        <w:t xml:space="preserve">Akwannor Family </w:t>
      </w:r>
      <w:r w:rsidR="00B427A3" w:rsidRPr="004704FC">
        <w:rPr>
          <w:rFonts w:ascii="Cambria" w:eastAsia="Calibri" w:hAnsi="Cambria" w:cs="Times New Roman"/>
          <w:kern w:val="0"/>
          <w:sz w:val="28"/>
          <w:szCs w:val="28"/>
          <w14:ligatures w14:val="none"/>
        </w:rPr>
        <w:t>said</w:t>
      </w:r>
      <w:r w:rsidR="002D17E9" w:rsidRPr="004704FC">
        <w:rPr>
          <w:rFonts w:ascii="Cambria" w:eastAsia="Calibri" w:hAnsi="Cambria" w:cs="Times New Roman"/>
          <w:kern w:val="0"/>
          <w:sz w:val="28"/>
          <w:szCs w:val="28"/>
          <w14:ligatures w14:val="none"/>
        </w:rPr>
        <w:t xml:space="preserve"> he</w:t>
      </w:r>
      <w:r w:rsidR="002D17E9">
        <w:rPr>
          <w:rFonts w:ascii="Cambria" w:eastAsia="Calibri" w:hAnsi="Cambria" w:cs="Times New Roman"/>
          <w:kern w:val="0"/>
          <w:sz w:val="28"/>
          <w:szCs w:val="28"/>
          <w14:ligatures w14:val="none"/>
        </w:rPr>
        <w:t xml:space="preserve"> had not granted any land to complainant. He testified that the land had been there for so many years </w:t>
      </w:r>
      <w:r w:rsidR="002D17E9">
        <w:rPr>
          <w:rFonts w:ascii="Cambria" w:eastAsia="Calibri" w:hAnsi="Cambria" w:cs="Times New Roman"/>
          <w:kern w:val="0"/>
          <w:sz w:val="28"/>
          <w:szCs w:val="28"/>
          <w14:ligatures w14:val="none"/>
        </w:rPr>
        <w:lastRenderedPageBreak/>
        <w:t xml:space="preserve">without crops and that was how come MC Daniel Lartey gave it to a contractor to win sand. </w:t>
      </w:r>
    </w:p>
    <w:p w14:paraId="07087DA5" w14:textId="41560803" w:rsidR="002D17E9" w:rsidRDefault="00CD7470" w:rsidP="007626F9">
      <w:pPr>
        <w:spacing w:line="256" w:lineRule="auto"/>
        <w:jc w:val="both"/>
        <w:rPr>
          <w:rFonts w:ascii="Cambria" w:eastAsia="Calibri" w:hAnsi="Cambria" w:cs="Times New Roman"/>
          <w:kern w:val="0"/>
          <w:sz w:val="28"/>
          <w:szCs w:val="28"/>
          <w14:ligatures w14:val="none"/>
        </w:rPr>
      </w:pPr>
      <w:r>
        <w:rPr>
          <w:rFonts w:ascii="Cambria" w:eastAsia="Calibri" w:hAnsi="Cambria" w:cs="Times New Roman"/>
          <w:kern w:val="0"/>
          <w:sz w:val="28"/>
          <w:szCs w:val="28"/>
          <w14:ligatures w14:val="none"/>
        </w:rPr>
        <w:t>DW1 was Solomon Mintah Ackwaah. He testified that he is the head and accredited representative of the Akwannor Royal Family of Asah</w:t>
      </w:r>
      <w:r w:rsidR="00B20E89">
        <w:rPr>
          <w:rFonts w:ascii="Cambria" w:eastAsia="Calibri" w:hAnsi="Cambria" w:cs="Times New Roman"/>
          <w:kern w:val="0"/>
          <w:sz w:val="28"/>
          <w:szCs w:val="28"/>
          <w14:ligatures w14:val="none"/>
        </w:rPr>
        <w:t>a</w:t>
      </w:r>
      <w:r>
        <w:rPr>
          <w:rFonts w:ascii="Cambria" w:eastAsia="Calibri" w:hAnsi="Cambria" w:cs="Times New Roman"/>
          <w:kern w:val="0"/>
          <w:sz w:val="28"/>
          <w:szCs w:val="28"/>
          <w14:ligatures w14:val="none"/>
        </w:rPr>
        <w:t>laja, Accra. He testified that his headship was confirmed in a Judgment dated 5</w:t>
      </w:r>
      <w:r w:rsidRPr="00CD7470">
        <w:rPr>
          <w:rFonts w:ascii="Cambria" w:eastAsia="Calibri" w:hAnsi="Cambria" w:cs="Times New Roman"/>
          <w:kern w:val="0"/>
          <w:sz w:val="28"/>
          <w:szCs w:val="28"/>
          <w:vertAlign w:val="superscript"/>
          <w14:ligatures w14:val="none"/>
        </w:rPr>
        <w:t>th</w:t>
      </w:r>
      <w:r>
        <w:rPr>
          <w:rFonts w:ascii="Cambria" w:eastAsia="Calibri" w:hAnsi="Cambria" w:cs="Times New Roman"/>
          <w:kern w:val="0"/>
          <w:sz w:val="28"/>
          <w:szCs w:val="28"/>
          <w14:ligatures w14:val="none"/>
        </w:rPr>
        <w:t xml:space="preserve"> December, 2018 with a declaration that Adams Addy and another were restrained from holding themselves out as Heads of the Akwaanor Royal Family of Ashalaja. He testified that on 14</w:t>
      </w:r>
      <w:r w:rsidRPr="00CD7470">
        <w:rPr>
          <w:rFonts w:ascii="Cambria" w:eastAsia="Calibri" w:hAnsi="Cambria" w:cs="Times New Roman"/>
          <w:kern w:val="0"/>
          <w:sz w:val="28"/>
          <w:szCs w:val="28"/>
          <w:vertAlign w:val="superscript"/>
          <w14:ligatures w14:val="none"/>
        </w:rPr>
        <w:t>th</w:t>
      </w:r>
      <w:r>
        <w:rPr>
          <w:rFonts w:ascii="Cambria" w:eastAsia="Calibri" w:hAnsi="Cambria" w:cs="Times New Roman"/>
          <w:kern w:val="0"/>
          <w:sz w:val="28"/>
          <w:szCs w:val="28"/>
          <w14:ligatures w14:val="none"/>
        </w:rPr>
        <w:t xml:space="preserve"> April, 2021, the said Adams Addy’s appeal to the Supreme Court was </w:t>
      </w:r>
      <w:r w:rsidR="00004557">
        <w:rPr>
          <w:rFonts w:ascii="Cambria" w:eastAsia="Calibri" w:hAnsi="Cambria" w:cs="Times New Roman"/>
          <w:kern w:val="0"/>
          <w:sz w:val="28"/>
          <w:szCs w:val="28"/>
          <w14:ligatures w14:val="none"/>
        </w:rPr>
        <w:t>dismissed</w:t>
      </w:r>
      <w:r>
        <w:rPr>
          <w:rFonts w:ascii="Cambria" w:eastAsia="Calibri" w:hAnsi="Cambria" w:cs="Times New Roman"/>
          <w:kern w:val="0"/>
          <w:sz w:val="28"/>
          <w:szCs w:val="28"/>
          <w14:ligatures w14:val="none"/>
        </w:rPr>
        <w:t xml:space="preserve"> thereby bringing finality</w:t>
      </w:r>
      <w:r w:rsidR="00004557">
        <w:rPr>
          <w:rFonts w:ascii="Cambria" w:eastAsia="Calibri" w:hAnsi="Cambria" w:cs="Times New Roman"/>
          <w:kern w:val="0"/>
          <w:sz w:val="28"/>
          <w:szCs w:val="28"/>
          <w14:ligatures w14:val="none"/>
        </w:rPr>
        <w:t xml:space="preserve"> on the issue of leadership of the Akwanor family.</w:t>
      </w:r>
      <w:r>
        <w:rPr>
          <w:rFonts w:ascii="Cambria" w:eastAsia="Calibri" w:hAnsi="Cambria" w:cs="Times New Roman"/>
          <w:kern w:val="0"/>
          <w:sz w:val="28"/>
          <w:szCs w:val="28"/>
          <w14:ligatures w14:val="none"/>
        </w:rPr>
        <w:t xml:space="preserve"> </w:t>
      </w:r>
    </w:p>
    <w:p w14:paraId="13F60B9D" w14:textId="386892BB" w:rsidR="002D17E9" w:rsidRPr="007626F9" w:rsidRDefault="00004557" w:rsidP="007626F9">
      <w:pPr>
        <w:spacing w:line="256" w:lineRule="auto"/>
        <w:jc w:val="both"/>
        <w:rPr>
          <w:rFonts w:ascii="Cambria" w:eastAsia="Calibri" w:hAnsi="Cambria" w:cs="Times New Roman"/>
          <w:i/>
          <w:iCs/>
          <w:kern w:val="0"/>
          <w:sz w:val="28"/>
          <w:szCs w:val="28"/>
          <w14:ligatures w14:val="none"/>
        </w:rPr>
      </w:pPr>
      <w:r>
        <w:rPr>
          <w:rFonts w:ascii="Cambria" w:eastAsia="Calibri" w:hAnsi="Cambria" w:cs="Times New Roman"/>
          <w:kern w:val="0"/>
          <w:sz w:val="28"/>
          <w:szCs w:val="28"/>
          <w14:ligatures w14:val="none"/>
        </w:rPr>
        <w:t xml:space="preserve">What is missing from Defence’s evidence is the decision of the Supreme Court stating that Adams Addy has no capacity to grant Ashalaja lands. </w:t>
      </w:r>
      <w:r w:rsidR="002D17E9">
        <w:rPr>
          <w:rFonts w:ascii="Cambria" w:eastAsia="Calibri" w:hAnsi="Cambria" w:cs="Times New Roman"/>
          <w:kern w:val="0"/>
          <w:sz w:val="28"/>
          <w:szCs w:val="28"/>
          <w14:ligatures w14:val="none"/>
        </w:rPr>
        <w:t>From his evidence, A1 claims that the land in dispute forms part of a larger tract which was given out by one MC Daniels.</w:t>
      </w:r>
      <w:r w:rsidR="005B2113">
        <w:rPr>
          <w:rFonts w:ascii="Cambria" w:eastAsia="Calibri" w:hAnsi="Cambria" w:cs="Times New Roman"/>
          <w:kern w:val="0"/>
          <w:sz w:val="28"/>
          <w:szCs w:val="28"/>
          <w14:ligatures w14:val="none"/>
        </w:rPr>
        <w:t xml:space="preserve"> In another he says that the land in dispute was sold by the Akwannor family to one Alhaji. In another, he claims that the said Alhaji went to see the Nii Adjin Family of Manhean and paid for the land</w:t>
      </w:r>
      <w:r>
        <w:rPr>
          <w:rFonts w:ascii="Cambria" w:eastAsia="Calibri" w:hAnsi="Cambria" w:cs="Times New Roman"/>
          <w:kern w:val="0"/>
          <w:sz w:val="28"/>
          <w:szCs w:val="28"/>
          <w14:ligatures w14:val="none"/>
        </w:rPr>
        <w:t xml:space="preserve"> because they claimed it as </w:t>
      </w:r>
      <w:r w:rsidR="00B427A3">
        <w:rPr>
          <w:rFonts w:ascii="Cambria" w:eastAsia="Calibri" w:hAnsi="Cambria" w:cs="Times New Roman"/>
          <w:kern w:val="0"/>
          <w:sz w:val="28"/>
          <w:szCs w:val="28"/>
          <w14:ligatures w14:val="none"/>
        </w:rPr>
        <w:t>theirs</w:t>
      </w:r>
      <w:r w:rsidR="005B2113">
        <w:rPr>
          <w:rFonts w:ascii="Cambria" w:eastAsia="Calibri" w:hAnsi="Cambria" w:cs="Times New Roman"/>
          <w:kern w:val="0"/>
          <w:sz w:val="28"/>
          <w:szCs w:val="28"/>
          <w14:ligatures w14:val="none"/>
        </w:rPr>
        <w:t xml:space="preserve">. Cleary, by his own evidence, A1 has failed to establish clearly who owns the land in question from his own contradictory evidence. Again, A1 states that during the sand winning, there were no crops on the land and complainant recently planted the crops when he took a civil action against Accused </w:t>
      </w:r>
      <w:r>
        <w:rPr>
          <w:rFonts w:ascii="Cambria" w:eastAsia="Calibri" w:hAnsi="Cambria" w:cs="Times New Roman"/>
          <w:kern w:val="0"/>
          <w:sz w:val="28"/>
          <w:szCs w:val="28"/>
          <w14:ligatures w14:val="none"/>
        </w:rPr>
        <w:t>persons in</w:t>
      </w:r>
      <w:r w:rsidR="005B2113">
        <w:rPr>
          <w:rFonts w:ascii="Cambria" w:eastAsia="Calibri" w:hAnsi="Cambria" w:cs="Times New Roman"/>
          <w:kern w:val="0"/>
          <w:sz w:val="28"/>
          <w:szCs w:val="28"/>
          <w14:ligatures w14:val="none"/>
        </w:rPr>
        <w:t xml:space="preserve"> the High Court. I find from Exhibit 4 that the said action was commenced on 19</w:t>
      </w:r>
      <w:r w:rsidR="005B2113" w:rsidRPr="005B2113">
        <w:rPr>
          <w:rFonts w:ascii="Cambria" w:eastAsia="Calibri" w:hAnsi="Cambria" w:cs="Times New Roman"/>
          <w:kern w:val="0"/>
          <w:sz w:val="28"/>
          <w:szCs w:val="28"/>
          <w:vertAlign w:val="superscript"/>
          <w14:ligatures w14:val="none"/>
        </w:rPr>
        <w:t>th</w:t>
      </w:r>
      <w:r w:rsidR="005B2113">
        <w:rPr>
          <w:rFonts w:ascii="Cambria" w:eastAsia="Calibri" w:hAnsi="Cambria" w:cs="Times New Roman"/>
          <w:kern w:val="0"/>
          <w:sz w:val="28"/>
          <w:szCs w:val="28"/>
          <w14:ligatures w14:val="none"/>
        </w:rPr>
        <w:t xml:space="preserve"> November, 2021. Indeed the Accused persons were </w:t>
      </w:r>
      <w:r>
        <w:rPr>
          <w:rFonts w:ascii="Cambria" w:eastAsia="Calibri" w:hAnsi="Cambria" w:cs="Times New Roman"/>
          <w:kern w:val="0"/>
          <w:sz w:val="28"/>
          <w:szCs w:val="28"/>
          <w14:ligatures w14:val="none"/>
        </w:rPr>
        <w:t>arraigned</w:t>
      </w:r>
      <w:r w:rsidR="005B2113">
        <w:rPr>
          <w:rFonts w:ascii="Cambria" w:eastAsia="Calibri" w:hAnsi="Cambria" w:cs="Times New Roman"/>
          <w:kern w:val="0"/>
          <w:sz w:val="28"/>
          <w:szCs w:val="28"/>
          <w14:ligatures w14:val="none"/>
        </w:rPr>
        <w:t xml:space="preserve"> before this court for having caused damage to the crops of complainant through sand wining activities since 5</w:t>
      </w:r>
      <w:r w:rsidR="005B2113" w:rsidRPr="005B2113">
        <w:rPr>
          <w:rFonts w:ascii="Cambria" w:eastAsia="Calibri" w:hAnsi="Cambria" w:cs="Times New Roman"/>
          <w:kern w:val="0"/>
          <w:sz w:val="28"/>
          <w:szCs w:val="28"/>
          <w:vertAlign w:val="superscript"/>
          <w14:ligatures w14:val="none"/>
        </w:rPr>
        <w:t>th</w:t>
      </w:r>
      <w:r w:rsidR="005B2113">
        <w:rPr>
          <w:rFonts w:ascii="Cambria" w:eastAsia="Calibri" w:hAnsi="Cambria" w:cs="Times New Roman"/>
          <w:kern w:val="0"/>
          <w:sz w:val="28"/>
          <w:szCs w:val="28"/>
          <w14:ligatures w14:val="none"/>
        </w:rPr>
        <w:t xml:space="preserve"> O</w:t>
      </w:r>
      <w:r w:rsidR="00CD7470">
        <w:rPr>
          <w:rFonts w:ascii="Cambria" w:eastAsia="Calibri" w:hAnsi="Cambria" w:cs="Times New Roman"/>
          <w:kern w:val="0"/>
          <w:sz w:val="28"/>
          <w:szCs w:val="28"/>
          <w14:ligatures w14:val="none"/>
        </w:rPr>
        <w:t>ctober, 2020. It could therefore not be the case that the said crops were only planted after the High Court action was instituted.</w:t>
      </w:r>
    </w:p>
    <w:p w14:paraId="321863B8" w14:textId="053D6BDF" w:rsidR="007626F9" w:rsidRPr="007626F9" w:rsidRDefault="00004557" w:rsidP="00004557">
      <w:pPr>
        <w:spacing w:line="256" w:lineRule="auto"/>
        <w:jc w:val="both"/>
        <w:rPr>
          <w:rFonts w:ascii="Cambria" w:eastAsia="Calibri" w:hAnsi="Cambria" w:cs="Times New Roman"/>
          <w:kern w:val="0"/>
          <w:sz w:val="28"/>
          <w:szCs w:val="28"/>
          <w14:ligatures w14:val="none"/>
        </w:rPr>
      </w:pPr>
      <w:r>
        <w:rPr>
          <w:rFonts w:ascii="Cambria" w:eastAsia="Calibri" w:hAnsi="Cambria" w:cs="Times New Roman"/>
          <w:kern w:val="0"/>
          <w:sz w:val="28"/>
          <w:szCs w:val="28"/>
          <w14:ligatures w14:val="none"/>
        </w:rPr>
        <w:t>As already indicated in the Ruling of 17/05/2022, t</w:t>
      </w:r>
      <w:r w:rsidRPr="007626F9">
        <w:rPr>
          <w:rFonts w:ascii="Cambria" w:eastAsia="Calibri" w:hAnsi="Cambria" w:cs="Times New Roman"/>
          <w:kern w:val="0"/>
          <w:sz w:val="28"/>
          <w:szCs w:val="28"/>
          <w14:ligatures w14:val="none"/>
        </w:rPr>
        <w:t>he Particulars of Offence state that the Accused caused damage to an acre of pineapple farm, an acre of sugar cane farm and two acres of cassava farm all valued at GHȻ114,640.00 the property of Yevaho farms limited. I note from Exhibit L which is a Report on the destruction of farmland by the Ga South Municipal Assembly shows that the value of the damage caused is a total of GHȻ53,500.00. There is also Exhibit K which indicates that the value of the destruction is GHȻ14,400.00. The value therefore brings the offence within the ambit of Section 172(1)(b).</w:t>
      </w:r>
    </w:p>
    <w:p w14:paraId="6CB64AE1" w14:textId="77777777" w:rsidR="007626F9" w:rsidRPr="007626F9" w:rsidRDefault="007626F9" w:rsidP="007626F9">
      <w:pPr>
        <w:spacing w:after="0" w:line="256" w:lineRule="auto"/>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 xml:space="preserve">In the case of </w:t>
      </w:r>
      <w:r w:rsidRPr="007626F9">
        <w:rPr>
          <w:rFonts w:ascii="Cambria" w:eastAsia="Calibri" w:hAnsi="Cambria" w:cs="Times New Roman"/>
          <w:b/>
          <w:bCs/>
          <w:kern w:val="0"/>
          <w:sz w:val="28"/>
          <w:szCs w:val="28"/>
          <w14:ligatures w14:val="none"/>
        </w:rPr>
        <w:t xml:space="preserve">YEBOAH AND ANOTHER V THE REPUBLIC [1999-2000] I GLR 149 </w:t>
      </w:r>
      <w:r w:rsidRPr="007626F9">
        <w:rPr>
          <w:rFonts w:ascii="Cambria" w:eastAsia="Calibri" w:hAnsi="Cambria" w:cs="Times New Roman"/>
          <w:kern w:val="0"/>
          <w:sz w:val="28"/>
          <w:szCs w:val="28"/>
          <w14:ligatures w14:val="none"/>
        </w:rPr>
        <w:t>it was held as follows:</w:t>
      </w:r>
    </w:p>
    <w:p w14:paraId="28638D0E" w14:textId="77777777" w:rsidR="007626F9" w:rsidRPr="007626F9" w:rsidRDefault="007626F9" w:rsidP="007626F9">
      <w:pPr>
        <w:spacing w:after="0" w:line="256" w:lineRule="auto"/>
        <w:jc w:val="both"/>
        <w:rPr>
          <w:rFonts w:ascii="Cambria" w:eastAsia="Calibri" w:hAnsi="Cambria" w:cs="Times New Roman"/>
          <w:kern w:val="0"/>
          <w:sz w:val="28"/>
          <w:szCs w:val="28"/>
          <w14:ligatures w14:val="none"/>
        </w:rPr>
      </w:pPr>
    </w:p>
    <w:p w14:paraId="0E271A8C" w14:textId="77777777" w:rsidR="007626F9" w:rsidRPr="007626F9" w:rsidRDefault="007626F9" w:rsidP="007626F9">
      <w:pPr>
        <w:spacing w:after="0" w:line="256" w:lineRule="auto"/>
        <w:ind w:left="720"/>
        <w:jc w:val="both"/>
        <w:rPr>
          <w:rFonts w:ascii="Cambria" w:eastAsia="Calibri" w:hAnsi="Cambria" w:cs="Times New Roman"/>
          <w:i/>
          <w:iCs/>
          <w:kern w:val="0"/>
          <w:sz w:val="28"/>
          <w:szCs w:val="28"/>
          <w14:ligatures w14:val="none"/>
        </w:rPr>
      </w:pPr>
      <w:r w:rsidRPr="007626F9">
        <w:rPr>
          <w:rFonts w:ascii="Cambria" w:eastAsia="Calibri" w:hAnsi="Cambria" w:cs="Times New Roman"/>
          <w:i/>
          <w:iCs/>
          <w:kern w:val="0"/>
          <w:sz w:val="28"/>
          <w:szCs w:val="28"/>
          <w14:ligatures w14:val="none"/>
        </w:rPr>
        <w:lastRenderedPageBreak/>
        <w:t>“On a charge of causing unlawful damage under section 172 of the Criminal Code, 1960 (Act 29), the ingredients to be proved by the prosecution were intention and unlawful damage.”</w:t>
      </w:r>
    </w:p>
    <w:p w14:paraId="0D3212C7" w14:textId="77777777" w:rsidR="007626F9" w:rsidRPr="007626F9" w:rsidRDefault="007626F9" w:rsidP="007626F9">
      <w:pPr>
        <w:spacing w:after="0" w:line="256" w:lineRule="auto"/>
        <w:ind w:left="720"/>
        <w:jc w:val="both"/>
        <w:rPr>
          <w:rFonts w:ascii="Cambria" w:eastAsia="Calibri" w:hAnsi="Cambria" w:cs="Times New Roman"/>
          <w:kern w:val="0"/>
          <w:sz w:val="28"/>
          <w:szCs w:val="28"/>
          <w14:ligatures w14:val="none"/>
        </w:rPr>
      </w:pPr>
    </w:p>
    <w:p w14:paraId="0A709031" w14:textId="4EB3AAD5" w:rsidR="007626F9" w:rsidRDefault="007626F9" w:rsidP="007626F9">
      <w:pPr>
        <w:spacing w:line="256" w:lineRule="auto"/>
        <w:jc w:val="both"/>
        <w:rPr>
          <w:rFonts w:ascii="Cambria" w:eastAsia="Calibri" w:hAnsi="Cambria" w:cs="Times New Roman"/>
          <w:kern w:val="0"/>
          <w:sz w:val="28"/>
          <w:szCs w:val="28"/>
          <w14:ligatures w14:val="none"/>
        </w:rPr>
      </w:pPr>
      <w:r w:rsidRPr="007626F9">
        <w:rPr>
          <w:rFonts w:ascii="Cambria" w:eastAsia="Calibri" w:hAnsi="Cambria" w:cs="Times New Roman"/>
          <w:kern w:val="0"/>
          <w:sz w:val="28"/>
          <w:szCs w:val="28"/>
          <w14:ligatures w14:val="none"/>
        </w:rPr>
        <w:t xml:space="preserve">There exists direct evidence on record by PW1 that the Accused persons were among those causing the destruction on the farmlands. PW3 also testified that when the report was made and they went unto the land, the Accused Persons were seen taking their heels. I consider that there is direct evidence placing both Accused Persons at the scene of the crime thereby connecting them to the charge. </w:t>
      </w:r>
      <w:r w:rsidR="00B20E89">
        <w:rPr>
          <w:rFonts w:ascii="Cambria" w:eastAsia="Calibri" w:hAnsi="Cambria" w:cs="Times New Roman"/>
          <w:kern w:val="0"/>
          <w:sz w:val="28"/>
          <w:szCs w:val="28"/>
          <w14:ligatures w14:val="none"/>
        </w:rPr>
        <w:t xml:space="preserve">Prosecutions witnesses I find were credible witnesses. </w:t>
      </w:r>
      <w:r w:rsidRPr="007626F9">
        <w:rPr>
          <w:rFonts w:ascii="Cambria" w:eastAsia="Calibri" w:hAnsi="Cambria" w:cs="Times New Roman"/>
          <w:kern w:val="0"/>
          <w:sz w:val="28"/>
          <w:szCs w:val="28"/>
          <w14:ligatures w14:val="none"/>
        </w:rPr>
        <w:t>From the evidence adduced, it is</w:t>
      </w:r>
      <w:r w:rsidR="00E15BB8">
        <w:rPr>
          <w:rFonts w:ascii="Cambria" w:eastAsia="Calibri" w:hAnsi="Cambria" w:cs="Times New Roman"/>
          <w:kern w:val="0"/>
          <w:sz w:val="28"/>
          <w:szCs w:val="28"/>
          <w14:ligatures w14:val="none"/>
        </w:rPr>
        <w:t xml:space="preserve"> also</w:t>
      </w:r>
      <w:r w:rsidRPr="007626F9">
        <w:rPr>
          <w:rFonts w:ascii="Cambria" w:eastAsia="Calibri" w:hAnsi="Cambria" w:cs="Times New Roman"/>
          <w:kern w:val="0"/>
          <w:sz w:val="28"/>
          <w:szCs w:val="28"/>
          <w14:ligatures w14:val="none"/>
        </w:rPr>
        <w:t xml:space="preserve"> not in dispute that the crops on the land have been destroyed. </w:t>
      </w:r>
    </w:p>
    <w:p w14:paraId="5D21F9C2" w14:textId="77777777" w:rsidR="00E15BB8" w:rsidRDefault="00E15BB8" w:rsidP="00E15BB8">
      <w:pPr>
        <w:spacing w:after="0" w:line="256" w:lineRule="auto"/>
        <w:jc w:val="both"/>
        <w:rPr>
          <w:rFonts w:ascii="Cambria" w:eastAsia="Calibri" w:hAnsi="Cambria" w:cs="Times New Roman"/>
          <w:kern w:val="0"/>
          <w:sz w:val="28"/>
          <w:szCs w:val="28"/>
          <w14:ligatures w14:val="none"/>
        </w:rPr>
      </w:pPr>
      <w:r w:rsidRPr="00E15BB8">
        <w:rPr>
          <w:rFonts w:ascii="Cambria" w:eastAsia="Calibri" w:hAnsi="Cambria" w:cs="Times New Roman"/>
          <w:kern w:val="0"/>
          <w:sz w:val="28"/>
          <w:szCs w:val="28"/>
          <w14:ligatures w14:val="none"/>
        </w:rPr>
        <w:t xml:space="preserve">In the case of </w:t>
      </w:r>
      <w:r w:rsidRPr="00E15BB8">
        <w:rPr>
          <w:rFonts w:ascii="Cambria" w:eastAsia="Calibri" w:hAnsi="Cambria" w:cs="Times New Roman"/>
          <w:b/>
          <w:bCs/>
          <w:kern w:val="0"/>
          <w:sz w:val="28"/>
          <w:szCs w:val="28"/>
          <w14:ligatures w14:val="none"/>
        </w:rPr>
        <w:t xml:space="preserve">YEBOAH and Another v THE REPUBLIC [1999-2000] I GLR 149 </w:t>
      </w:r>
      <w:r w:rsidRPr="00E15BB8">
        <w:rPr>
          <w:rFonts w:ascii="Cambria" w:eastAsia="Calibri" w:hAnsi="Cambria" w:cs="Times New Roman"/>
          <w:kern w:val="0"/>
          <w:sz w:val="28"/>
          <w:szCs w:val="28"/>
          <w14:ligatures w14:val="none"/>
        </w:rPr>
        <w:t>it was held as follows:</w:t>
      </w:r>
    </w:p>
    <w:p w14:paraId="35D395B5" w14:textId="77777777" w:rsidR="00E15BB8" w:rsidRPr="00E15BB8" w:rsidRDefault="00E15BB8" w:rsidP="00E15BB8">
      <w:pPr>
        <w:spacing w:after="0" w:line="256" w:lineRule="auto"/>
        <w:jc w:val="both"/>
        <w:rPr>
          <w:rFonts w:ascii="Cambria" w:eastAsia="Calibri" w:hAnsi="Cambria" w:cs="Times New Roman"/>
          <w:kern w:val="0"/>
          <w:sz w:val="28"/>
          <w:szCs w:val="28"/>
          <w14:ligatures w14:val="none"/>
        </w:rPr>
      </w:pPr>
    </w:p>
    <w:p w14:paraId="7B776908" w14:textId="088124C2" w:rsidR="00E15BB8" w:rsidRDefault="00E15BB8" w:rsidP="00E15BB8">
      <w:pPr>
        <w:spacing w:after="0" w:line="256" w:lineRule="auto"/>
        <w:ind w:left="720"/>
        <w:jc w:val="both"/>
        <w:rPr>
          <w:rFonts w:ascii="Cambria" w:eastAsia="Calibri" w:hAnsi="Cambria" w:cs="Times New Roman"/>
          <w:i/>
          <w:iCs/>
          <w:kern w:val="0"/>
          <w:sz w:val="28"/>
          <w:szCs w:val="28"/>
          <w14:ligatures w14:val="none"/>
        </w:rPr>
      </w:pPr>
      <w:r w:rsidRPr="00E15BB8">
        <w:rPr>
          <w:rFonts w:ascii="Cambria" w:eastAsia="Calibri" w:hAnsi="Cambria" w:cs="Times New Roman"/>
          <w:i/>
          <w:iCs/>
          <w:kern w:val="0"/>
          <w:sz w:val="28"/>
          <w:szCs w:val="28"/>
          <w14:ligatures w14:val="none"/>
        </w:rPr>
        <w:t>“On a charge of causing unlawful damage under section 172 of the Criminal Code, 1960 (Act 29), the ingredients to be proved by the prosecution were intention and unlawful damage. On the evidence, the appellants had intentionally destroyed the complainant's fence wall and they did so unlawfully within the provisions of section 174(1) of Act29 because as provided by section 174(2) of Act 29 the mere fact of the appellants' possession of the land in dispute was irrelevant to the commission of the crime under section 172 of Act 29. Besides, if the facts grounding the charge had been brought before the court it would have been sufficient to have had a.' order of restraint made since no court would allow any person to conduct himself in the manner urged against the appellants. Furthermore, the said facts would have established liability against the appellants. Con</w:t>
      </w:r>
      <w:r w:rsidRPr="00E15BB8">
        <w:rPr>
          <w:rFonts w:ascii="Cambria" w:eastAsia="Calibri" w:hAnsi="Cambria" w:cs="Times New Roman"/>
          <w:i/>
          <w:iCs/>
          <w:kern w:val="0"/>
          <w:sz w:val="28"/>
          <w:szCs w:val="28"/>
          <w14:ligatures w14:val="none"/>
        </w:rPr>
        <w:softHyphen/>
        <w:t>sequently, at the end of the prosecution's case, there was a prima facie case which required the trial tribunal to call on the appellants to enter their defence. It was only when after the appellants had been called upon, they had testified and offered an explanation to the charge that the trial tribunal would have been enabled to inquire whether or not their conduct was one done in good faith, i.e. in assertion of a right, since the determination of good faith could only he made after hearing the appellants and having regard to all the cir</w:t>
      </w:r>
      <w:r w:rsidRPr="00E15BB8">
        <w:rPr>
          <w:rFonts w:ascii="Cambria" w:eastAsia="Calibri" w:hAnsi="Cambria" w:cs="Times New Roman"/>
          <w:i/>
          <w:iCs/>
          <w:kern w:val="0"/>
          <w:sz w:val="28"/>
          <w:szCs w:val="28"/>
          <w14:ligatures w14:val="none"/>
        </w:rPr>
        <w:softHyphen/>
        <w:t xml:space="preserve">cumstances of the case. In the absence of that, the trial tribunal could not come to it decision whether or not the appellants had acted in an honest belief that they were entitled to demolish the fence wall.” </w:t>
      </w:r>
    </w:p>
    <w:p w14:paraId="104CD805" w14:textId="77777777" w:rsidR="00E15BB8" w:rsidRPr="00E15BB8" w:rsidRDefault="00E15BB8" w:rsidP="00E15BB8">
      <w:pPr>
        <w:spacing w:after="0" w:line="256" w:lineRule="auto"/>
        <w:ind w:left="720"/>
        <w:jc w:val="both"/>
        <w:rPr>
          <w:rFonts w:ascii="Cambria" w:eastAsia="Calibri" w:hAnsi="Cambria" w:cs="Times New Roman"/>
          <w:i/>
          <w:iCs/>
          <w:kern w:val="0"/>
          <w:sz w:val="28"/>
          <w:szCs w:val="28"/>
          <w14:ligatures w14:val="none"/>
        </w:rPr>
      </w:pPr>
    </w:p>
    <w:p w14:paraId="1FAF9534" w14:textId="50A751C9" w:rsidR="00E15BB8" w:rsidRDefault="00E15BB8" w:rsidP="007626F9">
      <w:pPr>
        <w:spacing w:line="256" w:lineRule="auto"/>
        <w:jc w:val="both"/>
        <w:rPr>
          <w:rFonts w:ascii="Cambria" w:eastAsia="Calibri" w:hAnsi="Cambria" w:cs="Times New Roman"/>
          <w:kern w:val="0"/>
          <w:sz w:val="28"/>
          <w:szCs w:val="28"/>
          <w14:ligatures w14:val="none"/>
        </w:rPr>
      </w:pPr>
      <w:r>
        <w:rPr>
          <w:rFonts w:ascii="Cambria" w:eastAsia="Calibri" w:hAnsi="Cambria" w:cs="Times New Roman"/>
          <w:kern w:val="0"/>
          <w:sz w:val="28"/>
          <w:szCs w:val="28"/>
          <w14:ligatures w14:val="none"/>
        </w:rPr>
        <w:lastRenderedPageBreak/>
        <w:t>I am unable to find from the evidence that the destruction to the crops was done through Accused persons good faith doing ‘legitimate work by levelling their land’.</w:t>
      </w:r>
    </w:p>
    <w:p w14:paraId="1E782B7B" w14:textId="30884FBD" w:rsidR="00004557" w:rsidRDefault="00004557" w:rsidP="007626F9">
      <w:pPr>
        <w:spacing w:line="256" w:lineRule="auto"/>
        <w:jc w:val="both"/>
        <w:rPr>
          <w:rFonts w:ascii="Cambria" w:eastAsia="Calibri" w:hAnsi="Cambria" w:cs="Times New Roman"/>
          <w:kern w:val="0"/>
          <w:sz w:val="28"/>
          <w:szCs w:val="28"/>
          <w14:ligatures w14:val="none"/>
        </w:rPr>
      </w:pPr>
      <w:r>
        <w:rPr>
          <w:rFonts w:ascii="Cambria" w:eastAsia="Calibri" w:hAnsi="Cambria" w:cs="Times New Roman"/>
          <w:kern w:val="0"/>
          <w:sz w:val="28"/>
          <w:szCs w:val="28"/>
          <w14:ligatures w14:val="none"/>
        </w:rPr>
        <w:t xml:space="preserve">In </w:t>
      </w:r>
      <w:r w:rsidRPr="00004557">
        <w:rPr>
          <w:rFonts w:ascii="Cambria" w:eastAsia="Calibri" w:hAnsi="Cambria" w:cs="Times New Roman"/>
          <w:b/>
          <w:bCs/>
          <w:kern w:val="0"/>
          <w:sz w:val="28"/>
          <w:szCs w:val="28"/>
          <w14:ligatures w14:val="none"/>
        </w:rPr>
        <w:t>LUTTERODT v. COMMISSIONER OF POLICE [1963] 2 GLR 429</w:t>
      </w:r>
      <w:r>
        <w:rPr>
          <w:rFonts w:ascii="Cambria" w:eastAsia="Calibri" w:hAnsi="Cambria" w:cs="Times New Roman"/>
          <w:b/>
          <w:bCs/>
          <w:kern w:val="0"/>
          <w:sz w:val="28"/>
          <w:szCs w:val="28"/>
          <w14:ligatures w14:val="none"/>
        </w:rPr>
        <w:t xml:space="preserve"> </w:t>
      </w:r>
      <w:r>
        <w:rPr>
          <w:rFonts w:ascii="Cambria" w:eastAsia="Calibri" w:hAnsi="Cambria" w:cs="Times New Roman"/>
          <w:kern w:val="0"/>
          <w:sz w:val="28"/>
          <w:szCs w:val="28"/>
          <w14:ligatures w14:val="none"/>
        </w:rPr>
        <w:t>it was held as follows:</w:t>
      </w:r>
    </w:p>
    <w:p w14:paraId="6A5EF286" w14:textId="0DA41465" w:rsidR="00004557" w:rsidRPr="00004557" w:rsidRDefault="00004557" w:rsidP="00004557">
      <w:pPr>
        <w:spacing w:after="0" w:line="256" w:lineRule="auto"/>
        <w:ind w:left="720"/>
        <w:jc w:val="both"/>
        <w:rPr>
          <w:rFonts w:ascii="Cambria" w:eastAsia="Calibri" w:hAnsi="Cambria" w:cs="Times New Roman"/>
          <w:i/>
          <w:iCs/>
          <w:kern w:val="0"/>
          <w:sz w:val="28"/>
          <w:szCs w:val="28"/>
          <w:lang w:val="en-GB"/>
          <w14:ligatures w14:val="none"/>
        </w:rPr>
      </w:pPr>
      <w:r w:rsidRPr="00004557">
        <w:rPr>
          <w:rFonts w:ascii="Cambria" w:eastAsia="Calibri" w:hAnsi="Cambria" w:cs="Times New Roman"/>
          <w:i/>
          <w:iCs/>
          <w:kern w:val="0"/>
          <w:sz w:val="28"/>
          <w:szCs w:val="28"/>
          <w:lang w:val="en-GB"/>
          <w14:ligatures w14:val="none"/>
        </w:rPr>
        <w:t>“In all criminal cases where the determination of a case depends upon facts and the court forms the opinion that a prima facie case has been made, the court should proceed to examine the case for the defence in three stages:</w:t>
      </w:r>
    </w:p>
    <w:p w14:paraId="578AF391" w14:textId="77777777" w:rsidR="00004557" w:rsidRPr="00004557" w:rsidRDefault="00004557" w:rsidP="00004557">
      <w:pPr>
        <w:spacing w:after="0" w:line="256" w:lineRule="auto"/>
        <w:ind w:left="720"/>
        <w:jc w:val="both"/>
        <w:rPr>
          <w:rFonts w:ascii="Cambria" w:eastAsia="Calibri" w:hAnsi="Cambria" w:cs="Times New Roman"/>
          <w:i/>
          <w:iCs/>
          <w:kern w:val="0"/>
          <w:sz w:val="28"/>
          <w:szCs w:val="28"/>
          <w:lang w:val="en-GB"/>
          <w14:ligatures w14:val="none"/>
        </w:rPr>
      </w:pPr>
      <w:r w:rsidRPr="00004557">
        <w:rPr>
          <w:rFonts w:ascii="Cambria" w:eastAsia="Calibri" w:hAnsi="Cambria" w:cs="Times New Roman"/>
          <w:i/>
          <w:iCs/>
          <w:kern w:val="0"/>
          <w:sz w:val="28"/>
          <w:szCs w:val="28"/>
          <w:lang w:val="en-GB"/>
          <w14:ligatures w14:val="none"/>
        </w:rPr>
        <w:t>(a)  if the explanation of the defence is acceptable, then the accused should be acquitted;</w:t>
      </w:r>
    </w:p>
    <w:p w14:paraId="08AEE94E" w14:textId="77777777" w:rsidR="00004557" w:rsidRPr="00004557" w:rsidRDefault="00004557" w:rsidP="00004557">
      <w:pPr>
        <w:spacing w:after="0" w:line="256" w:lineRule="auto"/>
        <w:ind w:left="720"/>
        <w:jc w:val="both"/>
        <w:rPr>
          <w:rFonts w:ascii="Cambria" w:eastAsia="Calibri" w:hAnsi="Cambria" w:cs="Times New Roman"/>
          <w:i/>
          <w:iCs/>
          <w:kern w:val="0"/>
          <w:sz w:val="28"/>
          <w:szCs w:val="28"/>
          <w:lang w:val="en-GB"/>
          <w14:ligatures w14:val="none"/>
        </w:rPr>
      </w:pPr>
      <w:r w:rsidRPr="00004557">
        <w:rPr>
          <w:rFonts w:ascii="Cambria" w:eastAsia="Calibri" w:hAnsi="Cambria" w:cs="Times New Roman"/>
          <w:i/>
          <w:iCs/>
          <w:kern w:val="0"/>
          <w:sz w:val="28"/>
          <w:szCs w:val="28"/>
          <w:lang w:val="en-GB"/>
          <w14:ligatures w14:val="none"/>
        </w:rPr>
        <w:t>(b) if the explanation is not acceptable, but is reasonably probable, the accused should be acquitted;</w:t>
      </w:r>
    </w:p>
    <w:p w14:paraId="428613BA" w14:textId="3DF96423" w:rsidR="00004557" w:rsidRDefault="00004557" w:rsidP="00E15BB8">
      <w:pPr>
        <w:spacing w:after="0" w:line="256" w:lineRule="auto"/>
        <w:ind w:left="720"/>
        <w:jc w:val="both"/>
        <w:rPr>
          <w:rFonts w:ascii="Cambria" w:eastAsia="Calibri" w:hAnsi="Cambria" w:cs="Times New Roman"/>
          <w:kern w:val="0"/>
          <w:sz w:val="28"/>
          <w:szCs w:val="28"/>
          <w:lang w:val="en-GB"/>
          <w14:ligatures w14:val="none"/>
        </w:rPr>
      </w:pPr>
      <w:r w:rsidRPr="00004557">
        <w:rPr>
          <w:rFonts w:ascii="Cambria" w:eastAsia="Calibri" w:hAnsi="Cambria" w:cs="Times New Roman"/>
          <w:i/>
          <w:iCs/>
          <w:kern w:val="0"/>
          <w:sz w:val="28"/>
          <w:szCs w:val="28"/>
          <w:lang w:val="en-GB"/>
          <w14:ligatures w14:val="none"/>
        </w:rPr>
        <w:t>(c) if quite apart from the defence's explanation, the court is satisfied on a consideration of the whole evidence that the accused is guilty, it must convict.”</w:t>
      </w:r>
    </w:p>
    <w:p w14:paraId="01A96F21" w14:textId="77777777" w:rsidR="00E15BB8" w:rsidRPr="00E15BB8" w:rsidRDefault="00E15BB8" w:rsidP="00E15BB8">
      <w:pPr>
        <w:spacing w:after="0" w:line="256" w:lineRule="auto"/>
        <w:ind w:left="720"/>
        <w:jc w:val="both"/>
        <w:rPr>
          <w:rFonts w:ascii="Cambria" w:eastAsia="Calibri" w:hAnsi="Cambria" w:cs="Times New Roman"/>
          <w:kern w:val="0"/>
          <w:sz w:val="28"/>
          <w:szCs w:val="28"/>
          <w:lang w:val="en-GB"/>
          <w14:ligatures w14:val="none"/>
        </w:rPr>
      </w:pPr>
    </w:p>
    <w:p w14:paraId="363C3F98" w14:textId="44D3D803" w:rsidR="0001401D" w:rsidRDefault="00E15BB8" w:rsidP="0001401D">
      <w:pPr>
        <w:spacing w:line="256" w:lineRule="auto"/>
        <w:jc w:val="both"/>
        <w:rPr>
          <w:rFonts w:ascii="Cambria" w:eastAsia="Calibri" w:hAnsi="Cambria" w:cs="Times New Roman"/>
          <w:kern w:val="0"/>
          <w:sz w:val="28"/>
          <w:szCs w:val="28"/>
          <w14:ligatures w14:val="none"/>
        </w:rPr>
      </w:pPr>
      <w:r>
        <w:rPr>
          <w:rFonts w:ascii="Cambria" w:eastAsia="Calibri" w:hAnsi="Cambria" w:cs="Times New Roman"/>
          <w:kern w:val="0"/>
          <w:sz w:val="28"/>
          <w:szCs w:val="28"/>
          <w14:ligatures w14:val="none"/>
        </w:rPr>
        <w:t>From the evidence before me, I am unable to accept the evidence of defence as reasonably probable.</w:t>
      </w:r>
      <w:r w:rsidR="0001401D">
        <w:rPr>
          <w:rFonts w:ascii="Cambria" w:eastAsia="Calibri" w:hAnsi="Cambria" w:cs="Times New Roman"/>
          <w:kern w:val="0"/>
          <w:sz w:val="28"/>
          <w:szCs w:val="28"/>
          <w14:ligatures w14:val="none"/>
        </w:rPr>
        <w:t xml:space="preserve"> </w:t>
      </w:r>
      <w:r w:rsidR="0001401D" w:rsidRPr="0001401D">
        <w:rPr>
          <w:rFonts w:ascii="Cambria" w:eastAsia="Calibri" w:hAnsi="Cambria" w:cs="Times New Roman"/>
          <w:kern w:val="0"/>
          <w:sz w:val="28"/>
          <w:szCs w:val="28"/>
          <w14:ligatures w14:val="none"/>
        </w:rPr>
        <w:t>Upon a consideration of the entirety of the evidence on record, I am unable to find anything which creates a doubt in favour of Accused or exonerates him from the Charge levelled. I find that the prosecution has discharged the burden of proving its case beyond any reasonable doubt</w:t>
      </w:r>
      <w:r w:rsidR="00B20E89">
        <w:rPr>
          <w:rFonts w:ascii="Cambria" w:eastAsia="Calibri" w:hAnsi="Cambria" w:cs="Times New Roman"/>
          <w:kern w:val="0"/>
          <w:sz w:val="28"/>
          <w:szCs w:val="28"/>
          <w14:ligatures w14:val="none"/>
        </w:rPr>
        <w:t xml:space="preserve"> that the first Accused intentionally and unlawfully caused damage to the crops of complainant</w:t>
      </w:r>
      <w:r w:rsidR="0001401D">
        <w:rPr>
          <w:rFonts w:ascii="Cambria" w:eastAsia="Calibri" w:hAnsi="Cambria" w:cs="Times New Roman"/>
          <w:kern w:val="0"/>
          <w:sz w:val="28"/>
          <w:szCs w:val="28"/>
          <w14:ligatures w14:val="none"/>
        </w:rPr>
        <w:t>.</w:t>
      </w:r>
      <w:r w:rsidR="00B427A3">
        <w:rPr>
          <w:rFonts w:ascii="Cambria" w:eastAsia="Calibri" w:hAnsi="Cambria" w:cs="Times New Roman"/>
          <w:kern w:val="0"/>
          <w:sz w:val="28"/>
          <w:szCs w:val="28"/>
          <w14:ligatures w14:val="none"/>
        </w:rPr>
        <w:t xml:space="preserve"> </w:t>
      </w:r>
      <w:r w:rsidR="0001401D" w:rsidRPr="0001401D">
        <w:rPr>
          <w:rFonts w:ascii="Cambria" w:eastAsia="Calibri" w:hAnsi="Cambria" w:cs="Times New Roman"/>
          <w:kern w:val="0"/>
          <w:sz w:val="28"/>
          <w:szCs w:val="28"/>
          <w14:ligatures w14:val="none"/>
        </w:rPr>
        <w:t xml:space="preserve">I therefore find the </w:t>
      </w:r>
      <w:r w:rsidR="0001401D">
        <w:rPr>
          <w:rFonts w:ascii="Cambria" w:eastAsia="Calibri" w:hAnsi="Cambria" w:cs="Times New Roman"/>
          <w:kern w:val="0"/>
          <w:sz w:val="28"/>
          <w:szCs w:val="28"/>
          <w14:ligatures w14:val="none"/>
        </w:rPr>
        <w:t xml:space="preserve">First </w:t>
      </w:r>
      <w:r w:rsidR="0001401D" w:rsidRPr="0001401D">
        <w:rPr>
          <w:rFonts w:ascii="Cambria" w:eastAsia="Calibri" w:hAnsi="Cambria" w:cs="Times New Roman"/>
          <w:kern w:val="0"/>
          <w:sz w:val="28"/>
          <w:szCs w:val="28"/>
          <w14:ligatures w14:val="none"/>
        </w:rPr>
        <w:t>Accused Person Guilty on Count 2 and I hereby convict him accordingly.</w:t>
      </w:r>
    </w:p>
    <w:p w14:paraId="59665AD3" w14:textId="5178050F" w:rsidR="0001401D" w:rsidRPr="0001401D" w:rsidRDefault="0001401D" w:rsidP="0001401D">
      <w:pPr>
        <w:spacing w:line="256" w:lineRule="auto"/>
        <w:jc w:val="both"/>
        <w:rPr>
          <w:rFonts w:ascii="Cambria" w:eastAsia="Calibri" w:hAnsi="Cambria" w:cs="Times New Roman"/>
          <w:kern w:val="0"/>
          <w:sz w:val="28"/>
          <w:szCs w:val="28"/>
          <w14:ligatures w14:val="none"/>
        </w:rPr>
      </w:pPr>
      <w:r>
        <w:rPr>
          <w:rFonts w:ascii="Cambria" w:eastAsia="Calibri" w:hAnsi="Cambria" w:cs="Times New Roman"/>
          <w:kern w:val="0"/>
          <w:sz w:val="28"/>
          <w:szCs w:val="28"/>
          <w14:ligatures w14:val="none"/>
        </w:rPr>
        <w:t>I am unable to find evidence of an agreement to act together between the Accused persons to commit the crime of causing unlawful damage. The Accused persons are therefore acquitted on Count 1.</w:t>
      </w:r>
    </w:p>
    <w:p w14:paraId="40608C4D" w14:textId="77777777" w:rsidR="0001401D" w:rsidRPr="0001401D" w:rsidRDefault="0001401D" w:rsidP="0001401D">
      <w:pPr>
        <w:spacing w:line="256" w:lineRule="auto"/>
        <w:jc w:val="both"/>
        <w:rPr>
          <w:rFonts w:ascii="Cambria" w:eastAsia="Calibri" w:hAnsi="Cambria" w:cs="Times New Roman"/>
          <w:kern w:val="0"/>
          <w:sz w:val="28"/>
          <w:szCs w:val="28"/>
          <w14:ligatures w14:val="none"/>
        </w:rPr>
      </w:pPr>
    </w:p>
    <w:p w14:paraId="52F336E5" w14:textId="77777777" w:rsidR="0001401D" w:rsidRPr="0001401D" w:rsidRDefault="0001401D" w:rsidP="0001401D">
      <w:pPr>
        <w:spacing w:after="0" w:line="256" w:lineRule="auto"/>
        <w:jc w:val="right"/>
        <w:rPr>
          <w:rFonts w:ascii="Cambria" w:eastAsia="Calibri" w:hAnsi="Cambria" w:cs="Times New Roman"/>
          <w:b/>
          <w:bCs/>
          <w:kern w:val="0"/>
          <w:sz w:val="28"/>
          <w:szCs w:val="28"/>
          <w14:ligatures w14:val="none"/>
        </w:rPr>
      </w:pPr>
    </w:p>
    <w:p w14:paraId="04A9BE8F" w14:textId="09BA121C" w:rsidR="007626F9" w:rsidRPr="007626F9" w:rsidRDefault="007626F9" w:rsidP="007626F9">
      <w:pPr>
        <w:spacing w:after="0" w:line="256" w:lineRule="auto"/>
        <w:jc w:val="right"/>
        <w:rPr>
          <w:rFonts w:ascii="Cambria" w:eastAsia="Calibri" w:hAnsi="Cambria" w:cs="Times New Roman"/>
          <w:b/>
          <w:bCs/>
          <w:kern w:val="0"/>
          <w:sz w:val="28"/>
          <w:szCs w:val="28"/>
          <w14:ligatures w14:val="none"/>
        </w:rPr>
      </w:pPr>
    </w:p>
    <w:p w14:paraId="7F0034AF" w14:textId="77777777" w:rsidR="007626F9" w:rsidRPr="007626F9" w:rsidRDefault="007626F9" w:rsidP="007626F9">
      <w:pPr>
        <w:spacing w:after="0" w:line="256" w:lineRule="auto"/>
        <w:jc w:val="right"/>
        <w:rPr>
          <w:rFonts w:ascii="Cambria" w:eastAsia="Calibri" w:hAnsi="Cambria" w:cs="Times New Roman"/>
          <w:b/>
          <w:bCs/>
          <w:kern w:val="0"/>
          <w:sz w:val="28"/>
          <w:szCs w:val="28"/>
          <w14:ligatures w14:val="none"/>
        </w:rPr>
      </w:pPr>
      <w:r w:rsidRPr="007626F9">
        <w:rPr>
          <w:rFonts w:ascii="Cambria" w:eastAsia="Calibri" w:hAnsi="Cambria" w:cs="Times New Roman"/>
          <w:b/>
          <w:bCs/>
          <w:kern w:val="0"/>
          <w:sz w:val="28"/>
          <w:szCs w:val="28"/>
          <w14:ligatures w14:val="none"/>
        </w:rPr>
        <w:t>H/H ENID MARFUL-SAU</w:t>
      </w:r>
    </w:p>
    <w:p w14:paraId="45F21B61" w14:textId="77777777" w:rsidR="007626F9" w:rsidRPr="007626F9" w:rsidRDefault="007626F9" w:rsidP="007626F9">
      <w:pPr>
        <w:spacing w:after="0" w:line="256" w:lineRule="auto"/>
        <w:jc w:val="right"/>
        <w:rPr>
          <w:rFonts w:ascii="Cambria" w:eastAsia="Calibri" w:hAnsi="Cambria" w:cs="Times New Roman"/>
          <w:b/>
          <w:bCs/>
          <w:kern w:val="0"/>
          <w:sz w:val="28"/>
          <w:szCs w:val="28"/>
          <w14:ligatures w14:val="none"/>
        </w:rPr>
      </w:pPr>
      <w:r w:rsidRPr="007626F9">
        <w:rPr>
          <w:rFonts w:ascii="Cambria" w:eastAsia="Calibri" w:hAnsi="Cambria" w:cs="Times New Roman"/>
          <w:b/>
          <w:bCs/>
          <w:kern w:val="0"/>
          <w:sz w:val="28"/>
          <w:szCs w:val="28"/>
          <w14:ligatures w14:val="none"/>
        </w:rPr>
        <w:t>CIRCUIT JUDGE</w:t>
      </w:r>
    </w:p>
    <w:p w14:paraId="7411312D" w14:textId="77777777" w:rsidR="007626F9" w:rsidRPr="007626F9" w:rsidRDefault="007626F9" w:rsidP="007626F9">
      <w:pPr>
        <w:spacing w:after="0" w:line="256" w:lineRule="auto"/>
        <w:jc w:val="right"/>
        <w:rPr>
          <w:rFonts w:ascii="Cambria" w:eastAsia="Calibri" w:hAnsi="Cambria" w:cs="Times New Roman"/>
          <w:kern w:val="0"/>
          <w:sz w:val="28"/>
          <w:szCs w:val="28"/>
          <w14:ligatures w14:val="none"/>
        </w:rPr>
      </w:pPr>
      <w:r w:rsidRPr="007626F9">
        <w:rPr>
          <w:rFonts w:ascii="Cambria" w:eastAsia="Calibri" w:hAnsi="Cambria" w:cs="Times New Roman"/>
          <w:b/>
          <w:bCs/>
          <w:kern w:val="0"/>
          <w:sz w:val="28"/>
          <w:szCs w:val="28"/>
          <w14:ligatures w14:val="none"/>
        </w:rPr>
        <w:t>AMASAMAN</w:t>
      </w:r>
    </w:p>
    <w:p w14:paraId="52987C7D" w14:textId="77777777" w:rsidR="007626F9" w:rsidRPr="007626F9" w:rsidRDefault="007626F9" w:rsidP="007626F9">
      <w:pPr>
        <w:spacing w:line="256" w:lineRule="auto"/>
        <w:jc w:val="both"/>
        <w:rPr>
          <w:rFonts w:ascii="Cambria" w:eastAsia="Calibri" w:hAnsi="Cambria" w:cs="Times New Roman"/>
          <w:kern w:val="0"/>
          <w:sz w:val="28"/>
          <w:szCs w:val="28"/>
          <w14:ligatures w14:val="none"/>
        </w:rPr>
      </w:pPr>
    </w:p>
    <w:p w14:paraId="3EECAC0A" w14:textId="77777777" w:rsidR="007626F9" w:rsidRPr="007626F9" w:rsidRDefault="007626F9" w:rsidP="007626F9">
      <w:pPr>
        <w:spacing w:line="256" w:lineRule="auto"/>
        <w:jc w:val="both"/>
        <w:rPr>
          <w:rFonts w:ascii="Cambria" w:eastAsia="Calibri" w:hAnsi="Cambria" w:cs="Times New Roman"/>
          <w:kern w:val="0"/>
          <w:sz w:val="28"/>
          <w:szCs w:val="28"/>
          <w14:ligatures w14:val="none"/>
        </w:rPr>
      </w:pPr>
    </w:p>
    <w:sectPr w:rsidR="007626F9" w:rsidRPr="007626F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D039" w14:textId="77777777" w:rsidR="000745A4" w:rsidRDefault="000745A4">
      <w:pPr>
        <w:spacing w:after="0" w:line="240" w:lineRule="auto"/>
      </w:pPr>
      <w:r>
        <w:separator/>
      </w:r>
    </w:p>
  </w:endnote>
  <w:endnote w:type="continuationSeparator" w:id="0">
    <w:p w14:paraId="182FE59D" w14:textId="77777777" w:rsidR="000745A4" w:rsidRDefault="0007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899509"/>
      <w:docPartObj>
        <w:docPartGallery w:val="Page Numbers (Bottom of Page)"/>
        <w:docPartUnique/>
      </w:docPartObj>
    </w:sdtPr>
    <w:sdtEndPr/>
    <w:sdtContent>
      <w:sdt>
        <w:sdtPr>
          <w:id w:val="-1769616900"/>
          <w:docPartObj>
            <w:docPartGallery w:val="Page Numbers (Top of Page)"/>
            <w:docPartUnique/>
          </w:docPartObj>
        </w:sdtPr>
        <w:sdtEndPr/>
        <w:sdtContent>
          <w:p w14:paraId="1890D34D" w14:textId="77777777" w:rsidR="0001401D" w:rsidRDefault="000140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06F862" w14:textId="77777777" w:rsidR="0001401D" w:rsidRDefault="00014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5522" w14:textId="77777777" w:rsidR="000745A4" w:rsidRDefault="000745A4">
      <w:pPr>
        <w:spacing w:after="0" w:line="240" w:lineRule="auto"/>
      </w:pPr>
      <w:r>
        <w:separator/>
      </w:r>
    </w:p>
  </w:footnote>
  <w:footnote w:type="continuationSeparator" w:id="0">
    <w:p w14:paraId="16617560" w14:textId="77777777" w:rsidR="000745A4" w:rsidRDefault="00074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C0E"/>
    <w:multiLevelType w:val="hybridMultilevel"/>
    <w:tmpl w:val="C3B22114"/>
    <w:lvl w:ilvl="0" w:tplc="25709E98">
      <w:start w:val="2"/>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150EF"/>
    <w:multiLevelType w:val="hybridMultilevel"/>
    <w:tmpl w:val="6AEEBEB4"/>
    <w:lvl w:ilvl="0" w:tplc="817E585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84DE6"/>
    <w:multiLevelType w:val="hybridMultilevel"/>
    <w:tmpl w:val="DA164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4160299">
    <w:abstractNumId w:val="0"/>
  </w:num>
  <w:num w:numId="2" w16cid:durableId="332269171">
    <w:abstractNumId w:val="1"/>
  </w:num>
  <w:num w:numId="3" w16cid:durableId="609512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F9"/>
    <w:rsid w:val="00004557"/>
    <w:rsid w:val="00010505"/>
    <w:rsid w:val="0001401D"/>
    <w:rsid w:val="000745A4"/>
    <w:rsid w:val="002D17E9"/>
    <w:rsid w:val="004704FC"/>
    <w:rsid w:val="005B2113"/>
    <w:rsid w:val="00632C5B"/>
    <w:rsid w:val="007626F9"/>
    <w:rsid w:val="00B20E89"/>
    <w:rsid w:val="00B427A3"/>
    <w:rsid w:val="00B44AE8"/>
    <w:rsid w:val="00BC37C4"/>
    <w:rsid w:val="00C579CD"/>
    <w:rsid w:val="00CD7470"/>
    <w:rsid w:val="00E15BB8"/>
    <w:rsid w:val="00F7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394F"/>
  <w15:chartTrackingRefBased/>
  <w15:docId w15:val="{4847A76A-4912-4151-BCF0-D368C935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26F9"/>
    <w:pPr>
      <w:tabs>
        <w:tab w:val="center" w:pos="4513"/>
        <w:tab w:val="right" w:pos="9026"/>
      </w:tabs>
      <w:spacing w:after="0" w:line="240" w:lineRule="auto"/>
    </w:pPr>
    <w:rPr>
      <w:rFonts w:ascii="Calibri" w:eastAsia="Calibri" w:hAnsi="Calibri" w:cs="Times New Roman"/>
      <w:kern w:val="0"/>
      <w14:ligatures w14:val="none"/>
    </w:rPr>
  </w:style>
  <w:style w:type="character" w:customStyle="1" w:styleId="FooterChar">
    <w:name w:val="Footer Char"/>
    <w:basedOn w:val="DefaultParagraphFont"/>
    <w:link w:val="Footer"/>
    <w:uiPriority w:val="99"/>
    <w:rsid w:val="007626F9"/>
    <w:rPr>
      <w:rFonts w:ascii="Calibri" w:eastAsia="Calibri" w:hAnsi="Calibri" w:cs="Times New Roman"/>
      <w:kern w:val="0"/>
      <w:lang w:val="en-CA"/>
      <w14:ligatures w14:val="none"/>
    </w:rPr>
  </w:style>
  <w:style w:type="paragraph" w:styleId="Header">
    <w:name w:val="header"/>
    <w:basedOn w:val="Normal"/>
    <w:link w:val="HeaderChar"/>
    <w:uiPriority w:val="99"/>
    <w:unhideWhenUsed/>
    <w:rsid w:val="00B20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E89"/>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2023-12-28T11:15:00Z</cp:lastPrinted>
  <dcterms:created xsi:type="dcterms:W3CDTF">2024-01-02T22:43:00Z</dcterms:created>
  <dcterms:modified xsi:type="dcterms:W3CDTF">2024-01-02T22:43:00Z</dcterms:modified>
</cp:coreProperties>
</file>